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spacing w:line="415" w:lineRule="auto"/>
        <w:rPr>
          <w:highlight w:val="none"/>
        </w:rPr>
      </w:pPr>
      <w:r>
        <w:rPr>
          <w:rFonts w:hint="eastAsia"/>
          <w:highlight w:val="none"/>
        </w:rPr>
        <w:t>附件</w:t>
      </w:r>
      <w:bookmarkStart w:id="0" w:name="_GoBack"/>
      <w:bookmarkEnd w:id="0"/>
    </w:p>
    <w:p>
      <w:pPr>
        <w:jc w:val="center"/>
        <w:rPr>
          <w:b/>
          <w:sz w:val="44"/>
          <w:szCs w:val="44"/>
          <w:highlight w:val="none"/>
        </w:rPr>
      </w:pPr>
      <w:r>
        <w:rPr>
          <w:rFonts w:hint="eastAsia"/>
          <w:b/>
          <w:sz w:val="44"/>
          <w:szCs w:val="44"/>
          <w:highlight w:val="none"/>
        </w:rPr>
        <w:t>采购需求</w:t>
      </w:r>
    </w:p>
    <w:p>
      <w:pPr>
        <w:ind w:firstLine="642" w:firstLineChars="200"/>
        <w:rPr>
          <w:rFonts w:ascii="仿宋" w:hAnsi="仿宋" w:eastAsia="仿宋"/>
          <w:b/>
          <w:sz w:val="32"/>
          <w:szCs w:val="32"/>
          <w:highlight w:val="none"/>
        </w:rPr>
      </w:pPr>
      <w:r>
        <w:rPr>
          <w:rFonts w:hint="eastAsia" w:ascii="仿宋" w:hAnsi="仿宋" w:eastAsia="仿宋"/>
          <w:b/>
          <w:sz w:val="32"/>
          <w:szCs w:val="32"/>
          <w:highlight w:val="none"/>
        </w:rPr>
        <w:t>一、项目概况</w:t>
      </w:r>
    </w:p>
    <w:p>
      <w:pPr>
        <w:ind w:firstLine="640" w:firstLineChars="200"/>
        <w:rPr>
          <w:rFonts w:ascii="仿宋" w:hAnsi="仿宋" w:eastAsia="仿宋"/>
          <w:sz w:val="32"/>
          <w:szCs w:val="32"/>
          <w:highlight w:val="none"/>
        </w:rPr>
      </w:pPr>
      <w:r>
        <w:rPr>
          <w:rFonts w:hint="eastAsia" w:ascii="仿宋" w:hAnsi="仿宋" w:eastAsia="仿宋"/>
          <w:sz w:val="32"/>
          <w:szCs w:val="32"/>
          <w:highlight w:val="none"/>
        </w:rPr>
        <w:t>该项目为租赁服务项目。</w:t>
      </w:r>
    </w:p>
    <w:p>
      <w:pPr>
        <w:ind w:firstLine="640" w:firstLineChars="200"/>
        <w:rPr>
          <w:rFonts w:ascii="仿宋" w:hAnsi="仿宋" w:eastAsia="仿宋"/>
          <w:bCs/>
          <w:color w:val="000000"/>
          <w:sz w:val="32"/>
          <w:highlight w:val="none"/>
        </w:rPr>
      </w:pPr>
      <w:r>
        <w:rPr>
          <w:rFonts w:hint="eastAsia" w:ascii="仿宋" w:hAnsi="仿宋" w:eastAsia="仿宋"/>
          <w:sz w:val="32"/>
          <w:szCs w:val="32"/>
          <w:highlight w:val="none"/>
        </w:rPr>
        <w:t>主要为江海区人民法院提供</w:t>
      </w:r>
      <w:r>
        <w:rPr>
          <w:rFonts w:hint="eastAsia" w:ascii="仿宋" w:hAnsi="仿宋" w:eastAsia="仿宋"/>
          <w:color w:val="000000"/>
          <w:sz w:val="32"/>
          <w:szCs w:val="32"/>
          <w:highlight w:val="none"/>
          <w:shd w:val="clear" w:color="auto" w:fill="FFFFFF"/>
        </w:rPr>
        <w:t>一套集停车管理 、巡更可视对讲为一体的统一管理平台</w:t>
      </w:r>
      <w:r>
        <w:rPr>
          <w:rFonts w:hint="eastAsia" w:ascii="仿宋" w:hAnsi="仿宋" w:eastAsia="仿宋"/>
          <w:bCs/>
          <w:color w:val="000000"/>
          <w:sz w:val="32"/>
          <w:highlight w:val="none"/>
        </w:rPr>
        <w:t>，软件包括集车辆进出，访客管理等功能的管理系统，硬件包括嵌入式一体网关主机、直流变频栏栅道闸、数字车辆检测器入线圈或对射雷达、高清数字式车牌识别控制机、摄像机、机座等。</w:t>
      </w:r>
    </w:p>
    <w:p>
      <w:pPr>
        <w:ind w:firstLine="642" w:firstLineChars="200"/>
        <w:rPr>
          <w:rFonts w:ascii="仿宋" w:hAnsi="仿宋" w:eastAsia="仿宋"/>
          <w:b/>
          <w:sz w:val="32"/>
          <w:szCs w:val="32"/>
          <w:highlight w:val="none"/>
        </w:rPr>
      </w:pPr>
      <w:r>
        <w:rPr>
          <w:rFonts w:hint="eastAsia" w:ascii="仿宋" w:hAnsi="仿宋" w:eastAsia="仿宋"/>
          <w:b/>
          <w:sz w:val="32"/>
          <w:szCs w:val="32"/>
          <w:highlight w:val="none"/>
        </w:rPr>
        <w:t>二、主要商务要求</w:t>
      </w:r>
    </w:p>
    <w:p>
      <w:pPr>
        <w:ind w:firstLine="640" w:firstLineChars="200"/>
        <w:rPr>
          <w:rFonts w:ascii="仿宋" w:hAnsi="仿宋" w:eastAsia="仿宋"/>
          <w:sz w:val="32"/>
          <w:szCs w:val="32"/>
          <w:highlight w:val="none"/>
        </w:rPr>
      </w:pPr>
      <w:r>
        <w:rPr>
          <w:rFonts w:hint="eastAsia" w:ascii="仿宋" w:hAnsi="仿宋" w:eastAsia="仿宋"/>
          <w:sz w:val="32"/>
          <w:szCs w:val="32"/>
          <w:highlight w:val="none"/>
        </w:rPr>
        <w:t>1.预算金额：95200元（玖万伍仟贰佰元）</w:t>
      </w:r>
    </w:p>
    <w:p>
      <w:pPr>
        <w:ind w:firstLine="640" w:firstLineChars="200"/>
        <w:rPr>
          <w:rFonts w:ascii="仿宋" w:hAnsi="仿宋" w:eastAsia="仿宋"/>
          <w:sz w:val="32"/>
          <w:szCs w:val="32"/>
          <w:highlight w:val="none"/>
        </w:rPr>
      </w:pPr>
      <w:r>
        <w:rPr>
          <w:rFonts w:hint="eastAsia" w:ascii="仿宋" w:hAnsi="仿宋" w:eastAsia="仿宋"/>
          <w:sz w:val="32"/>
          <w:szCs w:val="32"/>
          <w:highlight w:val="none"/>
        </w:rPr>
        <w:t>2.服务期限：服务期3年，自合同签订后20日内完成设备安装及调试。</w:t>
      </w:r>
    </w:p>
    <w:p>
      <w:pPr>
        <w:autoSpaceDE w:val="0"/>
        <w:autoSpaceDN w:val="0"/>
        <w:adjustRightInd w:val="0"/>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3.付款方式：</w:t>
      </w:r>
    </w:p>
    <w:p>
      <w:pPr>
        <w:autoSpaceDE w:val="0"/>
        <w:autoSpaceDN w:val="0"/>
        <w:adjustRightInd w:val="0"/>
        <w:ind w:firstLine="640" w:firstLineChars="200"/>
        <w:jc w:val="left"/>
        <w:rPr>
          <w:rFonts w:ascii="仿宋" w:hAnsi="仿宋" w:eastAsia="仿宋"/>
          <w:kern w:val="0"/>
          <w:sz w:val="32"/>
          <w:szCs w:val="32"/>
          <w:highlight w:val="none"/>
        </w:rPr>
      </w:pPr>
      <w:r>
        <w:rPr>
          <w:rFonts w:hint="eastAsia" w:ascii="仿宋" w:hAnsi="仿宋" w:eastAsia="仿宋"/>
          <w:kern w:val="0"/>
          <w:sz w:val="32"/>
          <w:szCs w:val="32"/>
          <w:highlight w:val="none"/>
        </w:rPr>
        <w:t>项目总预算为95200元。</w:t>
      </w:r>
    </w:p>
    <w:p>
      <w:pPr>
        <w:autoSpaceDE w:val="0"/>
        <w:autoSpaceDN w:val="0"/>
        <w:adjustRightInd w:val="0"/>
        <w:ind w:firstLine="640" w:firstLineChars="200"/>
        <w:jc w:val="left"/>
        <w:rPr>
          <w:rFonts w:ascii="仿宋" w:hAnsi="仿宋" w:eastAsia="仿宋"/>
          <w:kern w:val="0"/>
          <w:sz w:val="32"/>
          <w:szCs w:val="32"/>
          <w:highlight w:val="none"/>
        </w:rPr>
      </w:pPr>
      <w:r>
        <w:rPr>
          <w:rFonts w:hint="eastAsia" w:ascii="仿宋" w:hAnsi="仿宋" w:eastAsia="仿宋"/>
          <w:kern w:val="0"/>
          <w:sz w:val="32"/>
          <w:szCs w:val="32"/>
          <w:highlight w:val="none"/>
        </w:rPr>
        <w:t>签订合同并完成安装调试后，支付第一年租赁费为合同总金额的30%，在收到请款相关资料，15个工作日内支付；</w:t>
      </w:r>
    </w:p>
    <w:p>
      <w:pPr>
        <w:autoSpaceDE w:val="0"/>
        <w:autoSpaceDN w:val="0"/>
        <w:adjustRightInd w:val="0"/>
        <w:ind w:firstLine="640" w:firstLineChars="200"/>
        <w:jc w:val="left"/>
        <w:rPr>
          <w:rFonts w:ascii="仿宋" w:hAnsi="仿宋" w:eastAsia="仿宋"/>
          <w:kern w:val="0"/>
          <w:sz w:val="32"/>
          <w:szCs w:val="32"/>
          <w:highlight w:val="none"/>
        </w:rPr>
      </w:pPr>
      <w:r>
        <w:rPr>
          <w:rFonts w:hint="eastAsia" w:ascii="仿宋" w:hAnsi="仿宋" w:eastAsia="仿宋"/>
          <w:kern w:val="0"/>
          <w:sz w:val="32"/>
          <w:szCs w:val="32"/>
          <w:highlight w:val="none"/>
        </w:rPr>
        <w:t>第二年租赁费在当年合同期开始的第二月支付，支付比例为合同总金额的40%，在收到请款相关资料，15个工作日内支付；</w:t>
      </w:r>
    </w:p>
    <w:p>
      <w:pPr>
        <w:autoSpaceDE w:val="0"/>
        <w:autoSpaceDN w:val="0"/>
        <w:adjustRightInd w:val="0"/>
        <w:ind w:firstLine="640" w:firstLineChars="200"/>
        <w:jc w:val="left"/>
        <w:rPr>
          <w:rFonts w:ascii="仿宋" w:hAnsi="仿宋" w:eastAsia="仿宋"/>
          <w:kern w:val="0"/>
          <w:sz w:val="32"/>
          <w:szCs w:val="32"/>
          <w:highlight w:val="none"/>
        </w:rPr>
      </w:pPr>
      <w:r>
        <w:rPr>
          <w:rFonts w:hint="eastAsia" w:ascii="仿宋" w:hAnsi="仿宋" w:eastAsia="仿宋"/>
          <w:kern w:val="0"/>
          <w:sz w:val="32"/>
          <w:szCs w:val="32"/>
          <w:highlight w:val="none"/>
        </w:rPr>
        <w:t>第三年租赁费在当年合同期开始的第二月支付，支付比例为合同总金额的30%，在收到请款相关资料，15个工作日内支付；</w:t>
      </w:r>
    </w:p>
    <w:p>
      <w:pPr>
        <w:autoSpaceDE w:val="0"/>
        <w:autoSpaceDN w:val="0"/>
        <w:adjustRightInd w:val="0"/>
        <w:ind w:firstLine="640" w:firstLineChars="200"/>
        <w:jc w:val="left"/>
        <w:rPr>
          <w:rFonts w:ascii="仿宋" w:hAnsi="仿宋" w:eastAsia="仿宋"/>
          <w:kern w:val="0"/>
          <w:sz w:val="32"/>
          <w:szCs w:val="32"/>
          <w:highlight w:val="none"/>
        </w:rPr>
      </w:pPr>
      <w:r>
        <w:rPr>
          <w:rFonts w:hint="eastAsia" w:ascii="仿宋" w:hAnsi="仿宋" w:eastAsia="仿宋"/>
          <w:kern w:val="0"/>
          <w:sz w:val="32"/>
          <w:szCs w:val="32"/>
          <w:highlight w:val="none"/>
        </w:rPr>
        <w:t>如</w:t>
      </w:r>
      <w:r>
        <w:rPr>
          <w:rFonts w:hint="eastAsia" w:ascii="仿宋" w:hAnsi="仿宋" w:eastAsia="仿宋" w:cs="DejaVuSans"/>
          <w:kern w:val="0"/>
          <w:sz w:val="32"/>
          <w:szCs w:val="32"/>
          <w:highlight w:val="none"/>
        </w:rPr>
        <w:t>第二三</w:t>
      </w:r>
      <w:r>
        <w:rPr>
          <w:rFonts w:hint="eastAsia" w:ascii="仿宋" w:hAnsi="仿宋" w:eastAsia="仿宋"/>
          <w:kern w:val="0"/>
          <w:sz w:val="32"/>
          <w:szCs w:val="32"/>
          <w:highlight w:val="none"/>
        </w:rPr>
        <w:t>年度的预算无法通过财政审核，本项目自动终止，采购人有权不签署相应年度的合同且无需承担违约责任。</w:t>
      </w:r>
    </w:p>
    <w:p>
      <w:pPr>
        <w:autoSpaceDE w:val="0"/>
        <w:autoSpaceDN w:val="0"/>
        <w:adjustRightInd w:val="0"/>
        <w:ind w:firstLine="640" w:firstLineChars="200"/>
        <w:jc w:val="left"/>
        <w:rPr>
          <w:rFonts w:ascii="仿宋" w:hAnsi="仿宋" w:eastAsia="仿宋"/>
          <w:sz w:val="32"/>
          <w:szCs w:val="32"/>
          <w:highlight w:val="none"/>
        </w:rPr>
      </w:pPr>
      <w:r>
        <w:rPr>
          <w:rFonts w:hint="eastAsia" w:ascii="仿宋" w:hAnsi="仿宋" w:eastAsia="仿宋"/>
          <w:kern w:val="0"/>
          <w:sz w:val="32"/>
          <w:szCs w:val="32"/>
          <w:highlight w:val="none"/>
        </w:rPr>
        <w:t>3.交付要求：供应商已按照合同规定完成</w:t>
      </w:r>
    </w:p>
    <w:p>
      <w:pPr>
        <w:pStyle w:val="3"/>
        <w:keepNext w:val="0"/>
        <w:keepLines w:val="0"/>
        <w:spacing w:line="415" w:lineRule="auto"/>
        <w:rPr>
          <w:rFonts w:ascii="仿宋" w:hAnsi="仿宋" w:eastAsia="仿宋"/>
          <w:highlight w:val="none"/>
        </w:rPr>
      </w:pPr>
      <w:r>
        <w:rPr>
          <w:rFonts w:hint="eastAsia" w:ascii="仿宋" w:hAnsi="仿宋" w:eastAsia="仿宋"/>
          <w:highlight w:val="none"/>
        </w:rPr>
        <w:t>三、产品技术要求：</w:t>
      </w:r>
    </w:p>
    <w:tbl>
      <w:tblPr>
        <w:tblStyle w:val="11"/>
        <w:tblW w:w="9768" w:type="dxa"/>
        <w:tblInd w:w="93" w:type="dxa"/>
        <w:tblLayout w:type="fixed"/>
        <w:tblCellMar>
          <w:top w:w="0" w:type="dxa"/>
          <w:left w:w="108" w:type="dxa"/>
          <w:bottom w:w="0" w:type="dxa"/>
          <w:right w:w="108" w:type="dxa"/>
        </w:tblCellMar>
      </w:tblPr>
      <w:tblGrid>
        <w:gridCol w:w="1725"/>
        <w:gridCol w:w="6706"/>
        <w:gridCol w:w="656"/>
        <w:gridCol w:w="681"/>
      </w:tblGrid>
      <w:tr>
        <w:tblPrEx>
          <w:tblCellMar>
            <w:top w:w="0" w:type="dxa"/>
            <w:left w:w="108" w:type="dxa"/>
            <w:bottom w:w="0" w:type="dxa"/>
            <w:right w:w="108" w:type="dxa"/>
          </w:tblCellMar>
        </w:tblPrEx>
        <w:trPr>
          <w:trHeight w:val="630"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设备名称</w:t>
            </w:r>
          </w:p>
        </w:tc>
        <w:tc>
          <w:tcPr>
            <w:tcW w:w="6706"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参数</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单位</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数量</w:t>
            </w:r>
          </w:p>
        </w:tc>
      </w:tr>
      <w:tr>
        <w:tblPrEx>
          <w:tblCellMar>
            <w:top w:w="0" w:type="dxa"/>
            <w:left w:w="108" w:type="dxa"/>
            <w:bottom w:w="0" w:type="dxa"/>
            <w:right w:w="108" w:type="dxa"/>
          </w:tblCellMar>
        </w:tblPrEx>
        <w:trPr>
          <w:trHeight w:val="1693"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智慧社区管理云平台</w:t>
            </w:r>
          </w:p>
        </w:tc>
        <w:tc>
          <w:tcPr>
            <w:tcW w:w="6706"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内置访客管理、停车出入、员工管理、主要机房设备管理、视频分析等，均可实现远程帮助客户多种服务。可视化集中实时监测物业管辖内各个项目位置、停车设备在线、门禁与车辆进出等实时情况、车辆信息和图片等可供分析大数据资料</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项</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1</w:t>
            </w:r>
          </w:p>
        </w:tc>
      </w:tr>
      <w:tr>
        <w:tblPrEx>
          <w:tblCellMar>
            <w:top w:w="0" w:type="dxa"/>
            <w:left w:w="108" w:type="dxa"/>
            <w:bottom w:w="0" w:type="dxa"/>
            <w:right w:w="108" w:type="dxa"/>
          </w:tblCellMar>
        </w:tblPrEx>
        <w:trPr>
          <w:trHeight w:val="630"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网页版管理终端</w:t>
            </w:r>
          </w:p>
        </w:tc>
        <w:tc>
          <w:tcPr>
            <w:tcW w:w="6706"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电脑无需安装软件，平台授权后，可以直接通过宽带连接收费终端进行现场管理，客户按需选用，上网宽带和现场值守电脑需客户自备</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项</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1</w:t>
            </w:r>
          </w:p>
        </w:tc>
      </w:tr>
      <w:tr>
        <w:tblPrEx>
          <w:tblCellMar>
            <w:top w:w="0" w:type="dxa"/>
            <w:left w:w="108" w:type="dxa"/>
            <w:bottom w:w="0" w:type="dxa"/>
            <w:right w:w="108" w:type="dxa"/>
          </w:tblCellMar>
        </w:tblPrEx>
        <w:trPr>
          <w:trHeight w:val="315"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云管理平台</w:t>
            </w:r>
          </w:p>
        </w:tc>
        <w:tc>
          <w:tcPr>
            <w:tcW w:w="6706"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支持云平台运营</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项</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1</w:t>
            </w:r>
          </w:p>
        </w:tc>
      </w:tr>
      <w:tr>
        <w:tblPrEx>
          <w:tblCellMar>
            <w:top w:w="0" w:type="dxa"/>
            <w:left w:w="108" w:type="dxa"/>
            <w:bottom w:w="0" w:type="dxa"/>
            <w:right w:w="108" w:type="dxa"/>
          </w:tblCellMar>
        </w:tblPrEx>
        <w:trPr>
          <w:trHeight w:val="945"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嵌入式一体网关主机（含显示器鼠标键盘）</w:t>
            </w:r>
          </w:p>
        </w:tc>
        <w:tc>
          <w:tcPr>
            <w:tcW w:w="6706"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连接云平台,Linux操作系统</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台</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1</w:t>
            </w:r>
          </w:p>
        </w:tc>
      </w:tr>
      <w:tr>
        <w:tblPrEx>
          <w:tblCellMar>
            <w:top w:w="0" w:type="dxa"/>
            <w:left w:w="108" w:type="dxa"/>
            <w:bottom w:w="0" w:type="dxa"/>
            <w:right w:w="108" w:type="dxa"/>
          </w:tblCellMar>
        </w:tblPrEx>
        <w:trPr>
          <w:trHeight w:val="630"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highlight w:val="none"/>
              </w:rPr>
              <w:t>直流变频栏栅道闸（一进一出）</w:t>
            </w:r>
          </w:p>
        </w:tc>
        <w:tc>
          <w:tcPr>
            <w:tcW w:w="6706"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变频直流电机设计</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只</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4</w:t>
            </w:r>
          </w:p>
        </w:tc>
      </w:tr>
      <w:tr>
        <w:tblPrEx>
          <w:tblCellMar>
            <w:top w:w="0" w:type="dxa"/>
            <w:left w:w="108" w:type="dxa"/>
            <w:bottom w:w="0" w:type="dxa"/>
            <w:right w:w="108" w:type="dxa"/>
          </w:tblCellMar>
        </w:tblPrEx>
        <w:trPr>
          <w:trHeight w:val="945"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数字车辆检测器及线圈或对射雷达</w:t>
            </w:r>
          </w:p>
        </w:tc>
        <w:tc>
          <w:tcPr>
            <w:tcW w:w="6706"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防砸车、自动落杆</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套</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4</w:t>
            </w:r>
          </w:p>
        </w:tc>
      </w:tr>
      <w:tr>
        <w:tblPrEx>
          <w:tblCellMar>
            <w:top w:w="0" w:type="dxa"/>
            <w:left w:w="108" w:type="dxa"/>
            <w:bottom w:w="0" w:type="dxa"/>
            <w:right w:w="108" w:type="dxa"/>
          </w:tblCellMar>
        </w:tblPrEx>
        <w:trPr>
          <w:trHeight w:val="1260"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高清数字式车牌识别控制机(内置车位显示屏)</w:t>
            </w:r>
          </w:p>
        </w:tc>
        <w:tc>
          <w:tcPr>
            <w:tcW w:w="6706"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PD2内置出、入口控制系统、集最新车牌识别技术、语音播报、LED数字显示屏、采用300万高清微光摄像机、可以最大限度保证车牌在各种环境状况下的准确识别、在提高通行效率</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套</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4</w:t>
            </w:r>
          </w:p>
        </w:tc>
      </w:tr>
      <w:tr>
        <w:tblPrEx>
          <w:tblCellMar>
            <w:top w:w="0" w:type="dxa"/>
            <w:left w:w="108" w:type="dxa"/>
            <w:bottom w:w="0" w:type="dxa"/>
            <w:right w:w="108" w:type="dxa"/>
          </w:tblCellMar>
        </w:tblPrEx>
        <w:trPr>
          <w:trHeight w:val="630"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出入口辅助摄像机</w:t>
            </w:r>
          </w:p>
        </w:tc>
        <w:tc>
          <w:tcPr>
            <w:tcW w:w="6706"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highlight w:val="none"/>
              </w:rPr>
              <w:t>内置300万高清微光摄像机、立柱、补光灯，提高出口双向来车识别率</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台</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2</w:t>
            </w:r>
          </w:p>
        </w:tc>
      </w:tr>
      <w:tr>
        <w:tblPrEx>
          <w:tblCellMar>
            <w:top w:w="0" w:type="dxa"/>
            <w:left w:w="108" w:type="dxa"/>
            <w:bottom w:w="0" w:type="dxa"/>
            <w:right w:w="108" w:type="dxa"/>
          </w:tblCellMar>
        </w:tblPrEx>
        <w:trPr>
          <w:trHeight w:val="1575"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高清数字摄像机（监控通过实时视频、接入监控系统管控实现远程控制道闸）</w:t>
            </w:r>
          </w:p>
        </w:tc>
        <w:tc>
          <w:tcPr>
            <w:tcW w:w="6706"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1/2.7”CMOS 1080P 像数 ICR红外滤片数字宽动态3D数字降噪，配内存卡支架电源</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套</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3</w:t>
            </w:r>
          </w:p>
        </w:tc>
      </w:tr>
      <w:tr>
        <w:tblPrEx>
          <w:tblCellMar>
            <w:top w:w="0" w:type="dxa"/>
            <w:left w:w="108" w:type="dxa"/>
            <w:bottom w:w="0" w:type="dxa"/>
            <w:right w:w="108" w:type="dxa"/>
          </w:tblCellMar>
        </w:tblPrEx>
        <w:trPr>
          <w:trHeight w:val="315"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混凝土设备基座</w:t>
            </w:r>
          </w:p>
        </w:tc>
        <w:tc>
          <w:tcPr>
            <w:tcW w:w="6706"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根据情况基座加固检修，表面刷警示油漆</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套</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4</w:t>
            </w:r>
          </w:p>
        </w:tc>
      </w:tr>
      <w:tr>
        <w:tblPrEx>
          <w:tblCellMar>
            <w:top w:w="0" w:type="dxa"/>
            <w:left w:w="108" w:type="dxa"/>
            <w:bottom w:w="0" w:type="dxa"/>
            <w:right w:w="108" w:type="dxa"/>
          </w:tblCellMar>
        </w:tblPrEx>
        <w:trPr>
          <w:trHeight w:val="630"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工程线材辅料</w:t>
            </w:r>
          </w:p>
        </w:tc>
        <w:tc>
          <w:tcPr>
            <w:tcW w:w="6706"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系统通讯、系统电源、控制等线材线管铺设支南门值班室内、开界回填路面、北门基座刷警示油漆翻新</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台</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1</w:t>
            </w:r>
          </w:p>
        </w:tc>
      </w:tr>
      <w:tr>
        <w:tblPrEx>
          <w:tblCellMar>
            <w:top w:w="0" w:type="dxa"/>
            <w:left w:w="108" w:type="dxa"/>
            <w:bottom w:w="0" w:type="dxa"/>
            <w:right w:w="108" w:type="dxa"/>
          </w:tblCellMar>
        </w:tblPrEx>
        <w:trPr>
          <w:trHeight w:val="315" w:hRule="atLeast"/>
        </w:trPr>
        <w:tc>
          <w:tcPr>
            <w:tcW w:w="1725"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工程施工费用</w:t>
            </w:r>
          </w:p>
        </w:tc>
        <w:tc>
          <w:tcPr>
            <w:tcW w:w="6706" w:type="dxa"/>
            <w:tcBorders>
              <w:top w:val="single" w:color="000000" w:sz="4" w:space="0"/>
              <w:left w:val="single" w:color="000000" w:sz="4" w:space="0"/>
              <w:bottom w:val="single" w:color="000000" w:sz="4" w:space="0"/>
              <w:right w:val="single" w:color="000000" w:sz="4" w:space="0"/>
            </w:tcBorders>
            <w:vAlign w:val="center"/>
          </w:tcPr>
          <w:p>
            <w:pPr>
              <w:rPr>
                <w:highlight w:val="none"/>
              </w:rPr>
            </w:pPr>
            <w:r>
              <w:rPr>
                <w:rFonts w:hint="eastAsia"/>
                <w:highlight w:val="none"/>
              </w:rPr>
              <w:t>调试、培训、维护等</w:t>
            </w:r>
          </w:p>
        </w:tc>
        <w:tc>
          <w:tcPr>
            <w:tcW w:w="656" w:type="dxa"/>
            <w:tcBorders>
              <w:top w:val="single" w:color="000000" w:sz="4" w:space="0"/>
              <w:left w:val="single" w:color="000000" w:sz="4" w:space="0"/>
              <w:bottom w:val="single" w:color="000000" w:sz="4" w:space="0"/>
              <w:right w:val="single" w:color="000000" w:sz="4" w:space="0"/>
            </w:tcBorders>
            <w:vAlign w:val="center"/>
          </w:tcPr>
          <w:p>
            <w:pPr>
              <w:jc w:val="center"/>
              <w:rPr>
                <w:rFonts w:cs="Times New Roman"/>
                <w:szCs w:val="24"/>
                <w:highlight w:val="none"/>
              </w:rPr>
            </w:pPr>
            <w:r>
              <w:rPr>
                <w:rFonts w:hint="eastAsia"/>
                <w:highlight w:val="none"/>
              </w:rPr>
              <w:t>套</w:t>
            </w:r>
          </w:p>
        </w:tc>
        <w:tc>
          <w:tcPr>
            <w:tcW w:w="681"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rFonts w:hint="eastAsia"/>
                <w:highlight w:val="none"/>
              </w:rPr>
              <w:t>1</w:t>
            </w:r>
          </w:p>
        </w:tc>
      </w:tr>
    </w:tbl>
    <w:p>
      <w:pPr>
        <w:pStyle w:val="9"/>
        <w:shd w:val="clear" w:color="auto" w:fill="FFFFFF"/>
        <w:spacing w:before="0" w:beforeAutospacing="0" w:after="0" w:afterAutospacing="0" w:line="480" w:lineRule="atLeast"/>
        <w:ind w:right="418"/>
        <w:rPr>
          <w:rFonts w:ascii="仿宋" w:hAnsi="仿宋" w:eastAsia="仿宋"/>
          <w:color w:val="000000"/>
          <w:sz w:val="32"/>
          <w:szCs w:val="32"/>
          <w:highlight w:val="none"/>
        </w:rPr>
      </w:pPr>
      <w:r>
        <w:rPr>
          <w:rFonts w:hint="eastAsia" w:ascii="仿宋" w:hAnsi="仿宋" w:eastAsia="仿宋"/>
          <w:color w:val="000000"/>
          <w:sz w:val="32"/>
          <w:szCs w:val="32"/>
          <w:highlight w:val="none"/>
        </w:rPr>
        <w:t>注 ：</w:t>
      </w:r>
      <w:r>
        <w:rPr>
          <w:rFonts w:hint="eastAsia" w:ascii="仿宋" w:hAnsi="仿宋" w:eastAsia="仿宋"/>
          <w:sz w:val="32"/>
          <w:szCs w:val="32"/>
          <w:highlight w:val="none"/>
        </w:rPr>
        <w:t>1.</w:t>
      </w:r>
      <w:r>
        <w:rPr>
          <w:rFonts w:ascii="仿宋" w:hAnsi="仿宋" w:eastAsia="仿宋" w:cs="Helvetica"/>
          <w:color w:val="000000"/>
          <w:sz w:val="32"/>
          <w:szCs w:val="32"/>
          <w:highlight w:val="none"/>
          <w:shd w:val="clear" w:color="auto" w:fill="FFFFFF"/>
        </w:rPr>
        <w:t>根据财政部《政府采购进口产品管理办法》（财库〔2007〕119号）要求，本次</w:t>
      </w:r>
      <w:r>
        <w:rPr>
          <w:rFonts w:hint="eastAsia" w:ascii="仿宋" w:hAnsi="仿宋" w:eastAsia="仿宋" w:cs="Helvetica"/>
          <w:color w:val="000000"/>
          <w:sz w:val="32"/>
          <w:szCs w:val="32"/>
          <w:highlight w:val="none"/>
          <w:shd w:val="clear" w:color="auto" w:fill="FFFFFF"/>
        </w:rPr>
        <w:t>租赁</w:t>
      </w:r>
      <w:r>
        <w:rPr>
          <w:rFonts w:ascii="仿宋" w:hAnsi="仿宋" w:eastAsia="仿宋" w:cs="Helvetica"/>
          <w:color w:val="000000"/>
          <w:sz w:val="32"/>
          <w:szCs w:val="32"/>
          <w:highlight w:val="none"/>
          <w:shd w:val="clear" w:color="auto" w:fill="FFFFFF"/>
        </w:rPr>
        <w:t>的货物为本国产品,不接受进口产品参与</w:t>
      </w:r>
      <w:r>
        <w:rPr>
          <w:rFonts w:hint="eastAsia" w:ascii="仿宋" w:hAnsi="仿宋" w:eastAsia="仿宋" w:cs="Helvetica"/>
          <w:color w:val="000000"/>
          <w:sz w:val="32"/>
          <w:szCs w:val="32"/>
          <w:highlight w:val="none"/>
          <w:shd w:val="clear" w:color="auto" w:fill="FFFFFF"/>
        </w:rPr>
        <w:t>报价</w:t>
      </w:r>
      <w:r>
        <w:rPr>
          <w:rFonts w:ascii="仿宋" w:hAnsi="仿宋" w:eastAsia="仿宋" w:cs="Helvetica"/>
          <w:color w:val="000000"/>
          <w:sz w:val="32"/>
          <w:szCs w:val="32"/>
          <w:highlight w:val="none"/>
          <w:shd w:val="clear" w:color="auto" w:fill="FFFFFF"/>
        </w:rPr>
        <w:t>（进口产品是指通过中国海关报关验放进入中国境内且产自关境外的产品。经审批允许进口产品报价的项目除外）。</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0"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DejaVuSans">
    <w:altName w:val="仿宋_GB2312"/>
    <w:panose1 w:val="00000000000000000000"/>
    <w:charset w:val="00"/>
    <w:family w:val="roma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Helvetica">
    <w:altName w:val="DejaVu Sans"/>
    <w:panose1 w:val="020B0604020202020204"/>
    <w:charset w:val="00"/>
    <w:family w:val="swiss"/>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E4YzlmNGExM2JjNzM4NGQ3OWU2YjdiY2FhNTY3MWIifQ=="/>
  </w:docVars>
  <w:rsids>
    <w:rsidRoot w:val="00A956C4"/>
    <w:rsid w:val="000228AA"/>
    <w:rsid w:val="00033FF8"/>
    <w:rsid w:val="000424E6"/>
    <w:rsid w:val="00072C2D"/>
    <w:rsid w:val="000F4F66"/>
    <w:rsid w:val="0015339E"/>
    <w:rsid w:val="00157B63"/>
    <w:rsid w:val="00256CCA"/>
    <w:rsid w:val="0027235A"/>
    <w:rsid w:val="002D48DB"/>
    <w:rsid w:val="00302CAA"/>
    <w:rsid w:val="00325625"/>
    <w:rsid w:val="003962F4"/>
    <w:rsid w:val="003D0055"/>
    <w:rsid w:val="004020E6"/>
    <w:rsid w:val="00462F7C"/>
    <w:rsid w:val="00467677"/>
    <w:rsid w:val="00523293"/>
    <w:rsid w:val="0053441A"/>
    <w:rsid w:val="00543EC9"/>
    <w:rsid w:val="00550B35"/>
    <w:rsid w:val="00570F4A"/>
    <w:rsid w:val="005E4668"/>
    <w:rsid w:val="0060554C"/>
    <w:rsid w:val="00637ED7"/>
    <w:rsid w:val="00657A09"/>
    <w:rsid w:val="00684DCB"/>
    <w:rsid w:val="006B413F"/>
    <w:rsid w:val="006E592E"/>
    <w:rsid w:val="007234B4"/>
    <w:rsid w:val="00763017"/>
    <w:rsid w:val="0083200B"/>
    <w:rsid w:val="00856AE2"/>
    <w:rsid w:val="008B29C0"/>
    <w:rsid w:val="00900BEB"/>
    <w:rsid w:val="0090269F"/>
    <w:rsid w:val="00906FF5"/>
    <w:rsid w:val="00924D33"/>
    <w:rsid w:val="00961328"/>
    <w:rsid w:val="009D3C16"/>
    <w:rsid w:val="00A21A27"/>
    <w:rsid w:val="00A753E5"/>
    <w:rsid w:val="00A956C4"/>
    <w:rsid w:val="00AC0654"/>
    <w:rsid w:val="00AC6B5C"/>
    <w:rsid w:val="00AF5C5F"/>
    <w:rsid w:val="00B859EF"/>
    <w:rsid w:val="00C94E28"/>
    <w:rsid w:val="00CB18E5"/>
    <w:rsid w:val="00CD72D7"/>
    <w:rsid w:val="00CF14C3"/>
    <w:rsid w:val="00D32632"/>
    <w:rsid w:val="00D439B7"/>
    <w:rsid w:val="00D71DDC"/>
    <w:rsid w:val="00D73B16"/>
    <w:rsid w:val="00D8078B"/>
    <w:rsid w:val="00D8699B"/>
    <w:rsid w:val="00DB59B6"/>
    <w:rsid w:val="00E34519"/>
    <w:rsid w:val="00EA7832"/>
    <w:rsid w:val="00F45185"/>
    <w:rsid w:val="0403226D"/>
    <w:rsid w:val="2EFFFB21"/>
    <w:rsid w:val="7B860F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link w:val="16"/>
    <w:qFormat/>
    <w:uiPriority w:val="0"/>
    <w:pPr>
      <w:ind w:firstLine="420"/>
    </w:pPr>
    <w:rPr>
      <w:rFonts w:ascii="Times New Roman" w:hAnsi="Times New Roman" w:cs="Times New Roman"/>
      <w:szCs w:val="24"/>
    </w:rPr>
  </w:style>
  <w:style w:type="paragraph" w:styleId="5">
    <w:name w:val="annotation text"/>
    <w:basedOn w:val="1"/>
    <w:link w:val="17"/>
    <w:qFormat/>
    <w:uiPriority w:val="99"/>
    <w:pPr>
      <w:jc w:val="left"/>
    </w:pPr>
  </w:style>
  <w:style w:type="paragraph" w:styleId="6">
    <w:name w:val="Balloon Text"/>
    <w:basedOn w:val="1"/>
    <w:link w:val="18"/>
    <w:qFormat/>
    <w:uiPriority w:val="99"/>
    <w:rPr>
      <w:sz w:val="18"/>
      <w:szCs w:val="18"/>
    </w:rPr>
  </w:style>
  <w:style w:type="paragraph" w:styleId="7">
    <w:name w:val="footer"/>
    <w:basedOn w:val="1"/>
    <w:link w:val="22"/>
    <w:qFormat/>
    <w:uiPriority w:val="0"/>
    <w:pPr>
      <w:tabs>
        <w:tab w:val="center" w:pos="4153"/>
        <w:tab w:val="right" w:pos="8306"/>
      </w:tabs>
      <w:snapToGrid w:val="0"/>
      <w:jc w:val="left"/>
    </w:pPr>
    <w:rPr>
      <w:sz w:val="18"/>
      <w:szCs w:val="18"/>
    </w:rPr>
  </w:style>
  <w:style w:type="paragraph" w:styleId="8">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kern w:val="0"/>
      <w:sz w:val="24"/>
      <w:szCs w:val="24"/>
    </w:rPr>
  </w:style>
  <w:style w:type="paragraph" w:styleId="10">
    <w:name w:val="annotation subject"/>
    <w:basedOn w:val="5"/>
    <w:next w:val="5"/>
    <w:link w:val="19"/>
    <w:qFormat/>
    <w:uiPriority w:val="99"/>
    <w:rPr>
      <w:b/>
      <w:bCs/>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annotation reference"/>
    <w:basedOn w:val="13"/>
    <w:qFormat/>
    <w:uiPriority w:val="99"/>
    <w:rPr>
      <w:sz w:val="21"/>
      <w:szCs w:val="21"/>
    </w:rPr>
  </w:style>
  <w:style w:type="paragraph" w:customStyle="1" w:styleId="15">
    <w:name w:val="List Paragraph_596ea34b-62fb-4c41-b768-8647be263958"/>
    <w:basedOn w:val="1"/>
    <w:qFormat/>
    <w:uiPriority w:val="34"/>
    <w:pPr>
      <w:ind w:firstLine="420" w:firstLineChars="200"/>
    </w:pPr>
  </w:style>
  <w:style w:type="character" w:customStyle="1" w:styleId="16">
    <w:name w:val="正文缩进 Char"/>
    <w:link w:val="4"/>
    <w:qFormat/>
    <w:uiPriority w:val="0"/>
    <w:rPr>
      <w:rFonts w:ascii="Times New Roman" w:hAnsi="Times New Roman" w:eastAsia="宋体" w:cs="Times New Roman"/>
      <w:szCs w:val="24"/>
    </w:rPr>
  </w:style>
  <w:style w:type="character" w:customStyle="1" w:styleId="17">
    <w:name w:val="批注文字 Char"/>
    <w:basedOn w:val="13"/>
    <w:link w:val="5"/>
    <w:qFormat/>
    <w:uiPriority w:val="99"/>
  </w:style>
  <w:style w:type="character" w:customStyle="1" w:styleId="18">
    <w:name w:val="批注框文本 Char"/>
    <w:basedOn w:val="13"/>
    <w:link w:val="6"/>
    <w:qFormat/>
    <w:uiPriority w:val="99"/>
    <w:rPr>
      <w:sz w:val="18"/>
      <w:szCs w:val="18"/>
    </w:rPr>
  </w:style>
  <w:style w:type="character" w:customStyle="1" w:styleId="19">
    <w:name w:val="批注主题 Char"/>
    <w:basedOn w:val="17"/>
    <w:link w:val="10"/>
    <w:qFormat/>
    <w:uiPriority w:val="99"/>
    <w:rPr>
      <w:b/>
      <w:bCs/>
    </w:rPr>
  </w:style>
  <w:style w:type="paragraph" w:customStyle="1" w:styleId="20">
    <w:name w:val="标题3-2"/>
    <w:basedOn w:val="1"/>
    <w:next w:val="15"/>
    <w:qFormat/>
    <w:uiPriority w:val="34"/>
    <w:pPr>
      <w:ind w:firstLine="420" w:firstLineChars="200"/>
    </w:pPr>
    <w:rPr>
      <w:lang w:val="zh-CN"/>
    </w:rPr>
  </w:style>
  <w:style w:type="character" w:customStyle="1" w:styleId="21">
    <w:name w:val="页眉 Char"/>
    <w:basedOn w:val="13"/>
    <w:link w:val="8"/>
    <w:qFormat/>
    <w:uiPriority w:val="0"/>
    <w:rPr>
      <w:kern w:val="2"/>
      <w:sz w:val="18"/>
      <w:szCs w:val="18"/>
    </w:rPr>
  </w:style>
  <w:style w:type="character" w:customStyle="1" w:styleId="22">
    <w:name w:val="页脚 Char"/>
    <w:basedOn w:val="13"/>
    <w:link w:val="7"/>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192</Words>
  <Characters>1099</Characters>
  <Lines>9</Lines>
  <Paragraphs>2</Paragraphs>
  <TotalTime>1755</TotalTime>
  <ScaleCrop>false</ScaleCrop>
  <LinksUpToDate>false</LinksUpToDate>
  <CharactersWithSpaces>1289</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2022-02-23T13:43:00Z</dcterms:created>
  <dc:creator>张瑞</dc:creator>
  <cp:lastModifiedBy>guest</cp:lastModifiedBy>
  <cp:lastPrinted>2026-07-22T17:40:00Z</cp:lastPrinted>
  <dcterms:modified xsi:type="dcterms:W3CDTF">2026-07-24T16:47:18Z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EFFC89E2FC864EF5916D7D0FD760DD4D_13</vt:lpwstr>
  </property>
</Properties>
</file>