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AEF36">
      <w:pPr>
        <w:spacing w:line="600" w:lineRule="exact"/>
        <w:jc w:val="center"/>
        <w:rPr>
          <w:rFonts w:ascii="宋体" w:hAnsi="宋体" w:eastAsia="宋体" w:cs="宋体"/>
          <w:b/>
          <w:color w:val="000000"/>
          <w:sz w:val="40"/>
          <w:szCs w:val="40"/>
        </w:rPr>
      </w:pPr>
      <w:r>
        <w:rPr>
          <w:rFonts w:ascii="宋体" w:hAnsi="宋体" w:eastAsia="宋体" w:cs="宋体"/>
          <w:b/>
          <w:sz w:val="21"/>
          <w:szCs w:val="21"/>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-28575</wp:posOffset>
                </wp:positionV>
                <wp:extent cx="816610" cy="377190"/>
                <wp:effectExtent l="13970" t="7620" r="7620" b="571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816610" cy="377190"/>
                        </a:xfrm>
                        <a:prstGeom prst="rect">
                          <a:avLst/>
                        </a:prstGeom>
                        <a:solidFill>
                          <a:srgbClr val="FFFFFF"/>
                        </a:solidFill>
                        <a:ln w="9525">
                          <a:solidFill>
                            <a:schemeClr val="bg1">
                              <a:lumMod val="100000"/>
                              <a:lumOff val="0"/>
                            </a:schemeClr>
                          </a:solidFill>
                          <a:miter lim="800000"/>
                        </a:ln>
                      </wps:spPr>
                      <wps:txbx>
                        <w:txbxContent>
                          <w:p w14:paraId="662C0240">
                            <w:pPr>
                              <w:rPr>
                                <w:sz w:val="24"/>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2.8pt;margin-top:-2.25pt;height:29.7pt;width:64.3pt;z-index:251659264;mso-width-relative:page;mso-height-relative:margin;mso-height-percent:200;" fillcolor="#FFFFFF" filled="t" stroked="t" coordsize="21600,21600" o:gfxdata="UEsDBAoAAAAAAIdO4kAAAAAAAAAAAAAAAAAEAAAAZHJzL1BLAwQUAAAACACHTuJAGACAONcAAAAH&#10;AQAADwAAAGRycy9kb3ducmV2LnhtbE2OT0/CMBjG7yZ8h+Y18QYtOBaZ6zgYTfRAiKAx3kr7ug3a&#10;t8vaAX57y0mOz588z69cnp1lR+xD60nCdCKAIWlvWqolfGxfxg/AQlRklPWEEn4xwLIa3ZSqMP5E&#10;73jcxJqlEQqFktDE2BWcB92gU2HiO6SU/fjeqZhkX3PTq1Mad5bPhMi5Uy2lh0Z1+NSgPmwGJ+FZ&#10;d6+L9bfdf631p8gHsXrb+5WUd7dT8Qgs4jn+l+GCn9ChSkw7P5AJzEqY56koYZzNgV3i+2wGbJf8&#10;bAG8Kvk1f/UHUEsDBBQAAAAIAIdO4kAotQt6SAIAALsEAAAOAAAAZHJzL2Uyb0RvYy54bWytVNFu&#10;0zAUfUfiHyy/szRl69Zo6TRaFSGNgbTxAa7jNBa2r7HdJuXrubbTUgYPeyAPke17c3zOuffm9m7Q&#10;iuyF8xJMTcuLCSXCcGik2db02/P63Q0lPjDTMAVG1PQgPL1bvH1z29tKTKED1QhHEMT4qrc17UKw&#10;VVF43gnN/AVYYTDYgtMs4NZti8axHtG1KqaTyazowTXWARfe4+kqB+mI6F4DCG0ruVgB32lhQkZ1&#10;QrGAknwnraeLxLZtBQ9f2taLQFRNUWlIb7wE15v4Lha3rNo6ZjvJRwrsNRReaNJMGrz0BLVigZGd&#10;k39BackdeGjDBQddZCHJEVRRTl5489QxK5IWtNrbk+n+/8Hyx/1XR2SDnUCJYRoL/iyGQD7AQKbR&#10;nd76CpOeLKaFAY9jZlTq7QPw754YWHbMbMW9c9B3gjXIroxfFmefZhwfQTb9Z2jwGrYLkICG1ukI&#10;iGYQRMfKHE6ViVQ4Ht6Us1mJEY6h99fX5TxVrmDV8WPrfPgoQJO4qKnDwidwtn/wIZJh1TElkQcl&#10;m7VUKm3cdrNUjuwZNsk6PYk/ajxPU4b0NZ1fTa+y/vOY/wdEhFY7jWozcjmJT+44PMe+zOdHKSNG&#10;4vrHxVoGnDglNfpwwkBByowmR1+zw2HYDGPRNtAc0G4Huedx4nHRgftJSY/9XlP/Y8ecoER9Mliy&#10;eXl5GQckbS6vrqe4ceeRzXmEGY5QNQ2U5OUy5KHaWSe3Hd50bJJ7LPNaphLEfsisRt7Y00ntOH9x&#10;aM73Kev3P2f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gAgDjXAAAABwEAAA8AAAAAAAAAAQAg&#10;AAAAIgAAAGRycy9kb3ducmV2LnhtbFBLAQIUABQAAAAIAIdO4kAotQt6SAIAALsEAAAOAAAAAAAA&#10;AAEAIAAAACYBAABkcnMvZTJvRG9jLnhtbFBLBQYAAAAABgAGAFkBAADgBQAAAAA=&#10;">
                <v:fill on="t" focussize="0,0"/>
                <v:stroke color="#FFFFFF [3228]" miterlimit="8" joinstyle="miter"/>
                <v:imagedata o:title=""/>
                <o:lock v:ext="edit" aspectratio="f"/>
                <v:textbox style="mso-fit-shape-to-text:t;">
                  <w:txbxContent>
                    <w:p w14:paraId="662C0240">
                      <w:pPr>
                        <w:rPr>
                          <w:sz w:val="24"/>
                          <w:szCs w:val="24"/>
                        </w:rPr>
                      </w:pPr>
                    </w:p>
                  </w:txbxContent>
                </v:textbox>
              </v:shape>
            </w:pict>
          </mc:Fallback>
        </mc:AlternateContent>
      </w:r>
      <w:r>
        <w:rPr>
          <w:rFonts w:hint="eastAsia" w:ascii="宋体" w:hAnsi="宋体" w:eastAsia="宋体"/>
          <w:b/>
          <w:sz w:val="40"/>
          <w:szCs w:val="40"/>
        </w:rPr>
        <w:t>广东省江门市江海区人民法院</w:t>
      </w:r>
    </w:p>
    <w:p w14:paraId="61ADF591">
      <w:pPr>
        <w:tabs>
          <w:tab w:val="left" w:pos="4536"/>
        </w:tabs>
        <w:spacing w:line="600" w:lineRule="exact"/>
        <w:jc w:val="center"/>
        <w:rPr>
          <w:rFonts w:ascii="宋体" w:hAnsi="宋体" w:eastAsia="宋体"/>
          <w:b/>
          <w:sz w:val="40"/>
          <w:szCs w:val="40"/>
        </w:rPr>
      </w:pPr>
      <w:r>
        <w:rPr>
          <w:rFonts w:hint="eastAsia" w:ascii="宋体" w:hAnsi="宋体" w:eastAsia="宋体"/>
          <w:b/>
          <w:sz w:val="40"/>
          <w:szCs w:val="40"/>
        </w:rPr>
        <w:t>诉讼文书送达地址确认书</w:t>
      </w:r>
    </w:p>
    <w:tbl>
      <w:tblPr>
        <w:tblStyle w:val="6"/>
        <w:tblW w:w="10618" w:type="dxa"/>
        <w:jc w:val="center"/>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582"/>
        <w:gridCol w:w="1465"/>
        <w:gridCol w:w="709"/>
        <w:gridCol w:w="2975"/>
        <w:gridCol w:w="44"/>
        <w:gridCol w:w="912"/>
        <w:gridCol w:w="407"/>
        <w:gridCol w:w="566"/>
        <w:gridCol w:w="2958"/>
      </w:tblGrid>
      <w:tr w14:paraId="1A6925BE">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56" w:hRule="atLeast"/>
          <w:jc w:val="center"/>
        </w:trPr>
        <w:tc>
          <w:tcPr>
            <w:tcW w:w="567" w:type="dxa"/>
            <w:vAlign w:val="center"/>
          </w:tcPr>
          <w:p w14:paraId="53F61AE6">
            <w:pPr>
              <w:pStyle w:val="14"/>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案号</w:t>
            </w:r>
          </w:p>
        </w:tc>
        <w:tc>
          <w:tcPr>
            <w:tcW w:w="5201" w:type="dxa"/>
            <w:gridSpan w:val="4"/>
            <w:vAlign w:val="center"/>
          </w:tcPr>
          <w:p w14:paraId="49B7CF7E">
            <w:pPr>
              <w:pStyle w:val="14"/>
              <w:rPr>
                <w:rFonts w:asciiTheme="majorEastAsia" w:hAnsiTheme="majorEastAsia" w:eastAsiaTheme="majorEastAsia"/>
                <w:sz w:val="24"/>
                <w:szCs w:val="24"/>
              </w:rPr>
            </w:pPr>
            <w:r>
              <w:rPr>
                <w:rFonts w:hint="eastAsia" w:asciiTheme="majorEastAsia" w:hAnsiTheme="majorEastAsia" w:eastAsiaTheme="majorEastAsia"/>
                <w:sz w:val="24"/>
                <w:szCs w:val="24"/>
              </w:rPr>
              <w:t>（20   ）粤07                  号</w:t>
            </w:r>
          </w:p>
        </w:tc>
        <w:tc>
          <w:tcPr>
            <w:tcW w:w="1320" w:type="dxa"/>
            <w:gridSpan w:val="2"/>
            <w:vAlign w:val="center"/>
          </w:tcPr>
          <w:p w14:paraId="0262665C">
            <w:pPr>
              <w:pStyle w:val="14"/>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案  由</w:t>
            </w:r>
          </w:p>
        </w:tc>
        <w:tc>
          <w:tcPr>
            <w:tcW w:w="3530" w:type="dxa"/>
            <w:gridSpan w:val="2"/>
            <w:vAlign w:val="center"/>
          </w:tcPr>
          <w:p w14:paraId="69BAC7B6">
            <w:pPr>
              <w:pStyle w:val="14"/>
              <w:rPr>
                <w:rFonts w:asciiTheme="majorEastAsia" w:hAnsiTheme="majorEastAsia" w:eastAsiaTheme="majorEastAsia"/>
                <w:sz w:val="24"/>
                <w:szCs w:val="24"/>
              </w:rPr>
            </w:pPr>
          </w:p>
        </w:tc>
      </w:tr>
      <w:tr w14:paraId="4C77C56F">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cantSplit/>
          <w:trHeight w:val="2670" w:hRule="atLeast"/>
          <w:jc w:val="center"/>
        </w:trPr>
        <w:tc>
          <w:tcPr>
            <w:tcW w:w="567" w:type="dxa"/>
            <w:textDirection w:val="tbRlV"/>
            <w:vAlign w:val="center"/>
          </w:tcPr>
          <w:p w14:paraId="70513D5C">
            <w:pPr>
              <w:pStyle w:val="14"/>
              <w:jc w:val="center"/>
              <w:rPr>
                <w:rFonts w:cs="Microsoft JhengHei Light" w:asciiTheme="majorEastAsia" w:hAnsiTheme="majorEastAsia" w:eastAsiaTheme="majorEastAsia"/>
                <w:kern w:val="0"/>
                <w:sz w:val="24"/>
                <w:szCs w:val="24"/>
                <w:lang w:val="zh-CN"/>
              </w:rPr>
            </w:pPr>
            <w:r>
              <w:rPr>
                <w:rFonts w:hint="eastAsia" w:cs="Microsoft JhengHei Light" w:asciiTheme="majorEastAsia" w:hAnsiTheme="majorEastAsia" w:eastAsiaTheme="majorEastAsia"/>
                <w:kern w:val="0"/>
                <w:sz w:val="24"/>
                <w:szCs w:val="24"/>
                <w:lang w:val="zh-CN"/>
              </w:rPr>
              <w:t>告 知 事 项</w:t>
            </w:r>
          </w:p>
        </w:tc>
        <w:tc>
          <w:tcPr>
            <w:tcW w:w="10051" w:type="dxa"/>
            <w:gridSpan w:val="8"/>
            <w:vAlign w:val="center"/>
          </w:tcPr>
          <w:p w14:paraId="0A805587">
            <w:pPr>
              <w:adjustRightInd/>
              <w:spacing w:line="280" w:lineRule="exact"/>
              <w:ind w:left="315" w:hanging="315" w:hangingChars="150"/>
              <w:jc w:val="both"/>
              <w:textAlignment w:val="auto"/>
              <w:rPr>
                <w:rFonts w:ascii="宋体" w:hAnsi="宋体" w:eastAsia="宋体" w:cs="宋体"/>
                <w:b/>
                <w:sz w:val="21"/>
                <w:szCs w:val="21"/>
              </w:rPr>
            </w:pPr>
            <w:r>
              <w:rPr>
                <w:rFonts w:hint="eastAsia" w:ascii="宋体" w:hAnsi="宋体" w:eastAsia="宋体" w:cs="宋体"/>
                <w:sz w:val="21"/>
                <w:szCs w:val="21"/>
              </w:rPr>
              <w:t>1、为方便当事人及其委托诉讼代理人及时接收人民法院诉讼文书，保障诉讼活动顺利进行，当事人或者其委托诉讼代理人应当如实填写本确认书的有关事项，</w:t>
            </w:r>
            <w:r>
              <w:rPr>
                <w:rFonts w:hint="eastAsia" w:ascii="宋体" w:hAnsi="宋体" w:eastAsia="宋体" w:cs="宋体"/>
                <w:b/>
                <w:sz w:val="24"/>
                <w:szCs w:val="24"/>
              </w:rPr>
              <w:t>必须确认当事人送达地址、联系电话。有关事项如有变更，应当以书面形式及时告知人民法院；不及时告知变更事项或者填写的内容不准确，导致诉讼文书无法送达或者未能及时送达的，当事人及其委托诉讼代理人自行承担由此可能产生的法律后果。</w:t>
            </w:r>
          </w:p>
          <w:p w14:paraId="13F66CDC">
            <w:pPr>
              <w:adjustRightInd/>
              <w:spacing w:line="280" w:lineRule="exact"/>
              <w:ind w:left="315" w:hanging="315" w:hangingChars="150"/>
              <w:jc w:val="both"/>
              <w:textAlignment w:val="auto"/>
              <w:rPr>
                <w:rFonts w:ascii="宋体" w:hAnsi="宋体" w:eastAsia="宋体" w:cs="宋体"/>
                <w:sz w:val="21"/>
                <w:szCs w:val="21"/>
              </w:rPr>
            </w:pPr>
            <w:r>
              <w:rPr>
                <w:rFonts w:hint="eastAsia" w:ascii="宋体" w:hAnsi="宋体" w:eastAsia="宋体" w:cs="宋体"/>
                <w:sz w:val="21"/>
                <w:szCs w:val="21"/>
              </w:rPr>
              <w:t>2、当事人及其委托诉讼代理人可</w:t>
            </w:r>
            <w:r>
              <w:rPr>
                <w:rFonts w:hint="eastAsia" w:ascii="宋体" w:hAnsi="宋体" w:eastAsia="宋体" w:cs="宋体"/>
                <w:b/>
                <w:sz w:val="24"/>
                <w:szCs w:val="24"/>
              </w:rPr>
              <w:t>自愿选择</w:t>
            </w:r>
            <w:r>
              <w:rPr>
                <w:rFonts w:hint="eastAsia" w:ascii="宋体" w:hAnsi="宋体" w:eastAsia="宋体" w:cs="宋体"/>
                <w:sz w:val="21"/>
                <w:szCs w:val="21"/>
              </w:rPr>
              <w:t>是否同意电子送达，并选择</w:t>
            </w:r>
            <w:r>
              <w:rPr>
                <w:rFonts w:hint="eastAsia" w:ascii="宋体" w:hAnsi="宋体" w:eastAsia="宋体" w:cs="宋体"/>
                <w:sz w:val="21"/>
                <w:szCs w:val="21"/>
                <w:lang w:eastAsia="zh-CN"/>
              </w:rPr>
              <w:t>人民法院在线服务</w:t>
            </w:r>
            <w:r>
              <w:rPr>
                <w:rFonts w:hint="eastAsia" w:ascii="宋体" w:hAnsi="宋体" w:eastAsia="宋体" w:cs="宋体"/>
                <w:sz w:val="21"/>
                <w:szCs w:val="21"/>
              </w:rPr>
              <w:t>网（含“</w:t>
            </w:r>
            <w:r>
              <w:rPr>
                <w:rFonts w:hint="eastAsia" w:ascii="宋体" w:hAnsi="宋体" w:eastAsia="宋体" w:cs="宋体"/>
                <w:sz w:val="21"/>
                <w:szCs w:val="21"/>
                <w:lang w:eastAsia="zh-CN"/>
              </w:rPr>
              <w:t>人民法院在线服务全国版</w:t>
            </w:r>
            <w:r>
              <w:rPr>
                <w:rFonts w:hint="eastAsia" w:ascii="宋体" w:hAnsi="宋体" w:eastAsia="宋体" w:cs="宋体"/>
                <w:sz w:val="21"/>
                <w:szCs w:val="21"/>
              </w:rPr>
              <w:t>”小程序）、电话、微信、QQ号、电子邮箱、传真等电子送达方式。</w:t>
            </w:r>
          </w:p>
          <w:p w14:paraId="5D1146B0">
            <w:pPr>
              <w:adjustRightInd/>
              <w:spacing w:line="280" w:lineRule="exact"/>
              <w:ind w:left="315" w:hanging="315" w:hangingChars="150"/>
              <w:jc w:val="both"/>
              <w:textAlignment w:val="auto"/>
              <w:rPr>
                <w:rFonts w:ascii="宋体" w:hAnsi="宋体" w:eastAsia="宋体" w:cs="宋体"/>
                <w:sz w:val="21"/>
                <w:szCs w:val="21"/>
              </w:rPr>
            </w:pPr>
            <w:r>
              <w:rPr>
                <w:rFonts w:hint="eastAsia" w:ascii="宋体" w:hAnsi="宋体" w:eastAsia="宋体" w:cs="宋体"/>
                <w:sz w:val="21"/>
                <w:szCs w:val="21"/>
              </w:rPr>
              <w:t>3、当事人或者委托诉讼代理人在本送达地址确认书中一经签名确认，确认的送达方式</w:t>
            </w:r>
            <w:r>
              <w:rPr>
                <w:rFonts w:hint="eastAsia" w:ascii="宋体" w:hAnsi="宋体" w:eastAsia="宋体" w:cs="宋体"/>
                <w:b/>
                <w:sz w:val="24"/>
                <w:szCs w:val="24"/>
              </w:rPr>
              <w:t>即适用案件诉讼全部程序（包括一审、二审、再审（含申诉、申请再审）和执行等有关程序及同期在受理法院审理的其他案件）送达诉讼文书及案件信息</w:t>
            </w:r>
            <w:r>
              <w:rPr>
                <w:rFonts w:hint="eastAsia" w:ascii="宋体" w:hAnsi="宋体" w:eastAsia="宋体" w:cs="宋体"/>
                <w:sz w:val="21"/>
                <w:szCs w:val="21"/>
              </w:rPr>
              <w:t>无须当事人或者委托诉讼代理人另行确认。</w:t>
            </w:r>
          </w:p>
          <w:p w14:paraId="47995503">
            <w:pPr>
              <w:pStyle w:val="13"/>
              <w:tabs>
                <w:tab w:val="left" w:pos="938"/>
              </w:tabs>
              <w:spacing w:line="280" w:lineRule="exact"/>
              <w:ind w:left="315" w:hanging="315" w:hangingChars="150"/>
              <w:jc w:val="both"/>
              <w:rPr>
                <w:rFonts w:hAnsi="宋体" w:eastAsia="宋体"/>
                <w:kern w:val="0"/>
              </w:rPr>
            </w:pPr>
            <w:r>
              <w:rPr>
                <w:rFonts w:hint="eastAsia" w:hAnsi="宋体" w:eastAsia="宋体"/>
                <w:kern w:val="0"/>
              </w:rPr>
              <w:t>4、有关送达的法律规定，见本地址确认书背面。</w:t>
            </w:r>
          </w:p>
        </w:tc>
      </w:tr>
      <w:tr w14:paraId="3096B631">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54" w:hRule="atLeast"/>
          <w:jc w:val="center"/>
        </w:trPr>
        <w:tc>
          <w:tcPr>
            <w:tcW w:w="567" w:type="dxa"/>
            <w:vMerge w:val="restart"/>
            <w:textDirection w:val="tbRlV"/>
            <w:vAlign w:val="center"/>
          </w:tcPr>
          <w:p w14:paraId="1C0180AA">
            <w:pPr>
              <w:pStyle w:val="14"/>
              <w:jc w:val="center"/>
              <w:rPr>
                <w:rFonts w:cs="Microsoft JhengHei Light" w:asciiTheme="majorEastAsia" w:hAnsiTheme="majorEastAsia" w:eastAsiaTheme="majorEastAsia"/>
                <w:b/>
                <w:kern w:val="0"/>
                <w:sz w:val="24"/>
                <w:szCs w:val="24"/>
                <w:lang w:val="zh-CN"/>
              </w:rPr>
            </w:pPr>
            <w:r>
              <w:rPr>
                <w:rFonts w:hint="eastAsia" w:cs="Microsoft JhengHei Light" w:asciiTheme="majorEastAsia" w:hAnsiTheme="majorEastAsia" w:eastAsiaTheme="majorEastAsia"/>
                <w:b/>
                <w:kern w:val="0"/>
                <w:sz w:val="24"/>
                <w:szCs w:val="24"/>
                <w:lang w:val="zh-CN"/>
              </w:rPr>
              <w:t>当事人</w:t>
            </w:r>
          </w:p>
        </w:tc>
        <w:tc>
          <w:tcPr>
            <w:tcW w:w="1468" w:type="dxa"/>
            <w:vMerge w:val="restart"/>
            <w:vAlign w:val="center"/>
          </w:tcPr>
          <w:p w14:paraId="08AA05CE">
            <w:pPr>
              <w:pStyle w:val="14"/>
              <w:jc w:val="center"/>
              <w:rPr>
                <w:rFonts w:asciiTheme="majorEastAsia" w:hAnsiTheme="majorEastAsia" w:eastAsiaTheme="majorEastAsia"/>
                <w:b/>
                <w:sz w:val="24"/>
                <w:szCs w:val="24"/>
              </w:rPr>
            </w:pPr>
            <w:r>
              <w:rPr>
                <w:rFonts w:hint="eastAsia" w:asciiTheme="majorEastAsia" w:hAnsiTheme="majorEastAsia" w:eastAsiaTheme="majorEastAsia"/>
                <w:b/>
                <w:szCs w:val="21"/>
              </w:rPr>
              <w:t>*</w:t>
            </w:r>
            <w:r>
              <w:rPr>
                <w:rFonts w:hint="eastAsia" w:asciiTheme="majorEastAsia" w:hAnsiTheme="majorEastAsia" w:eastAsiaTheme="majorEastAsia"/>
                <w:b/>
                <w:sz w:val="24"/>
                <w:szCs w:val="24"/>
              </w:rPr>
              <w:t>姓名/</w:t>
            </w:r>
          </w:p>
          <w:p w14:paraId="4B65D5A2">
            <w:pPr>
              <w:pStyle w:val="14"/>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名称</w:t>
            </w:r>
          </w:p>
        </w:tc>
        <w:tc>
          <w:tcPr>
            <w:tcW w:w="3689" w:type="dxa"/>
            <w:gridSpan w:val="2"/>
            <w:vMerge w:val="restart"/>
            <w:vAlign w:val="center"/>
          </w:tcPr>
          <w:p w14:paraId="4A3F36DD">
            <w:pPr>
              <w:widowControl/>
              <w:adjustRightInd/>
              <w:spacing w:line="240" w:lineRule="auto"/>
              <w:jc w:val="center"/>
              <w:textAlignment w:val="auto"/>
              <w:rPr>
                <w:rFonts w:asciiTheme="majorEastAsia" w:hAnsiTheme="majorEastAsia" w:eastAsiaTheme="majorEastAsia"/>
                <w:sz w:val="18"/>
                <w:szCs w:val="20"/>
              </w:rPr>
            </w:pPr>
          </w:p>
        </w:tc>
        <w:tc>
          <w:tcPr>
            <w:tcW w:w="1931" w:type="dxa"/>
            <w:gridSpan w:val="4"/>
            <w:vAlign w:val="center"/>
          </w:tcPr>
          <w:p w14:paraId="4C619698">
            <w:pPr>
              <w:widowControl/>
              <w:adjustRightInd/>
              <w:spacing w:line="240" w:lineRule="auto"/>
              <w:jc w:val="center"/>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公民身份号码</w:t>
            </w:r>
          </w:p>
        </w:tc>
        <w:tc>
          <w:tcPr>
            <w:tcW w:w="2963" w:type="dxa"/>
            <w:vAlign w:val="center"/>
          </w:tcPr>
          <w:p w14:paraId="7DD30560">
            <w:pPr>
              <w:widowControl/>
              <w:adjustRightInd/>
              <w:spacing w:line="240" w:lineRule="auto"/>
              <w:jc w:val="center"/>
              <w:textAlignment w:val="auto"/>
              <w:rPr>
                <w:rFonts w:asciiTheme="majorEastAsia" w:hAnsiTheme="majorEastAsia" w:eastAsiaTheme="majorEastAsia"/>
                <w:sz w:val="18"/>
                <w:szCs w:val="20"/>
              </w:rPr>
            </w:pPr>
          </w:p>
        </w:tc>
      </w:tr>
      <w:tr w14:paraId="567207C0">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65" w:hRule="atLeast"/>
          <w:jc w:val="center"/>
        </w:trPr>
        <w:tc>
          <w:tcPr>
            <w:tcW w:w="567" w:type="dxa"/>
            <w:vMerge w:val="continue"/>
            <w:vAlign w:val="center"/>
          </w:tcPr>
          <w:p w14:paraId="1109719B">
            <w:pPr>
              <w:pStyle w:val="14"/>
              <w:jc w:val="center"/>
              <w:rPr>
                <w:rFonts w:cs="Microsoft JhengHei Light" w:asciiTheme="majorEastAsia" w:hAnsiTheme="majorEastAsia" w:eastAsiaTheme="majorEastAsia"/>
                <w:kern w:val="0"/>
                <w:sz w:val="24"/>
                <w:szCs w:val="24"/>
                <w:lang w:val="zh-CN"/>
              </w:rPr>
            </w:pPr>
          </w:p>
        </w:tc>
        <w:tc>
          <w:tcPr>
            <w:tcW w:w="1468" w:type="dxa"/>
            <w:vMerge w:val="continue"/>
            <w:vAlign w:val="center"/>
          </w:tcPr>
          <w:p w14:paraId="0871F727">
            <w:pPr>
              <w:pStyle w:val="14"/>
              <w:jc w:val="center"/>
              <w:rPr>
                <w:rFonts w:asciiTheme="majorEastAsia" w:hAnsiTheme="majorEastAsia" w:eastAsiaTheme="majorEastAsia"/>
                <w:sz w:val="18"/>
                <w:szCs w:val="20"/>
              </w:rPr>
            </w:pPr>
          </w:p>
        </w:tc>
        <w:tc>
          <w:tcPr>
            <w:tcW w:w="3689" w:type="dxa"/>
            <w:gridSpan w:val="2"/>
            <w:vMerge w:val="continue"/>
            <w:vAlign w:val="center"/>
          </w:tcPr>
          <w:p w14:paraId="48544BA1">
            <w:pPr>
              <w:widowControl/>
              <w:adjustRightInd/>
              <w:spacing w:line="240" w:lineRule="auto"/>
              <w:jc w:val="center"/>
              <w:textAlignment w:val="auto"/>
              <w:rPr>
                <w:rFonts w:asciiTheme="majorEastAsia" w:hAnsiTheme="majorEastAsia" w:eastAsiaTheme="majorEastAsia"/>
                <w:sz w:val="18"/>
                <w:szCs w:val="20"/>
              </w:rPr>
            </w:pPr>
          </w:p>
        </w:tc>
        <w:tc>
          <w:tcPr>
            <w:tcW w:w="1931" w:type="dxa"/>
            <w:gridSpan w:val="4"/>
            <w:vAlign w:val="center"/>
          </w:tcPr>
          <w:p w14:paraId="0FEA1216">
            <w:pPr>
              <w:widowControl/>
              <w:adjustRightInd/>
              <w:spacing w:line="240" w:lineRule="auto"/>
              <w:jc w:val="center"/>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统一社会信用代码</w:t>
            </w:r>
          </w:p>
        </w:tc>
        <w:tc>
          <w:tcPr>
            <w:tcW w:w="2963" w:type="dxa"/>
            <w:vAlign w:val="center"/>
          </w:tcPr>
          <w:p w14:paraId="25D901F1">
            <w:pPr>
              <w:widowControl/>
              <w:adjustRightInd/>
              <w:spacing w:line="240" w:lineRule="auto"/>
              <w:jc w:val="center"/>
              <w:textAlignment w:val="auto"/>
              <w:rPr>
                <w:rFonts w:asciiTheme="majorEastAsia" w:hAnsiTheme="majorEastAsia" w:eastAsiaTheme="majorEastAsia"/>
                <w:sz w:val="18"/>
                <w:szCs w:val="20"/>
              </w:rPr>
            </w:pPr>
          </w:p>
        </w:tc>
      </w:tr>
      <w:tr w14:paraId="674AE824">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53" w:hRule="atLeast"/>
          <w:jc w:val="center"/>
        </w:trPr>
        <w:tc>
          <w:tcPr>
            <w:tcW w:w="567" w:type="dxa"/>
            <w:vMerge w:val="continue"/>
            <w:vAlign w:val="center"/>
          </w:tcPr>
          <w:p w14:paraId="0F34EB32">
            <w:pPr>
              <w:pStyle w:val="14"/>
              <w:jc w:val="center"/>
              <w:rPr>
                <w:rFonts w:cs="Microsoft JhengHei Light" w:asciiTheme="majorEastAsia" w:hAnsiTheme="majorEastAsia" w:eastAsiaTheme="majorEastAsia"/>
                <w:kern w:val="0"/>
                <w:sz w:val="24"/>
                <w:szCs w:val="24"/>
                <w:lang w:val="zh-CN"/>
              </w:rPr>
            </w:pPr>
          </w:p>
        </w:tc>
        <w:tc>
          <w:tcPr>
            <w:tcW w:w="1468" w:type="dxa"/>
            <w:vAlign w:val="center"/>
          </w:tcPr>
          <w:p w14:paraId="674D4C3B">
            <w:pPr>
              <w:spacing w:line="240" w:lineRule="auto"/>
              <w:jc w:val="center"/>
              <w:rPr>
                <w:rFonts w:cs="宋体" w:asciiTheme="majorEastAsia" w:hAnsiTheme="majorEastAsia" w:eastAsiaTheme="majorEastAsia"/>
                <w:b/>
                <w:sz w:val="24"/>
                <w:szCs w:val="24"/>
              </w:rPr>
            </w:pPr>
            <w:r>
              <w:rPr>
                <w:rFonts w:hint="eastAsia" w:asciiTheme="majorEastAsia" w:hAnsiTheme="majorEastAsia" w:eastAsiaTheme="majorEastAsia"/>
                <w:b/>
                <w:sz w:val="21"/>
                <w:szCs w:val="21"/>
              </w:rPr>
              <w:t>*</w:t>
            </w:r>
            <w:r>
              <w:rPr>
                <w:rFonts w:hint="eastAsia" w:cs="宋体" w:asciiTheme="majorEastAsia" w:hAnsiTheme="majorEastAsia" w:eastAsiaTheme="majorEastAsia"/>
                <w:b/>
                <w:sz w:val="24"/>
                <w:szCs w:val="24"/>
              </w:rPr>
              <w:t>送达地址</w:t>
            </w:r>
          </w:p>
        </w:tc>
        <w:tc>
          <w:tcPr>
            <w:tcW w:w="3689" w:type="dxa"/>
            <w:gridSpan w:val="2"/>
            <w:vAlign w:val="center"/>
          </w:tcPr>
          <w:p w14:paraId="25FF4E1B">
            <w:pPr>
              <w:pStyle w:val="14"/>
              <w:spacing w:line="300" w:lineRule="auto"/>
              <w:rPr>
                <w:rFonts w:asciiTheme="majorEastAsia" w:hAnsiTheme="majorEastAsia" w:eastAsiaTheme="majorEastAsia"/>
                <w:sz w:val="15"/>
                <w:szCs w:val="15"/>
              </w:rPr>
            </w:pPr>
          </w:p>
        </w:tc>
        <w:tc>
          <w:tcPr>
            <w:tcW w:w="1931" w:type="dxa"/>
            <w:gridSpan w:val="4"/>
            <w:vAlign w:val="center"/>
          </w:tcPr>
          <w:p w14:paraId="647C3448">
            <w:pPr>
              <w:pStyle w:val="14"/>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b/>
                <w:sz w:val="24"/>
                <w:szCs w:val="24"/>
              </w:rPr>
              <w:t>*联系电话</w:t>
            </w:r>
          </w:p>
        </w:tc>
        <w:tc>
          <w:tcPr>
            <w:tcW w:w="2963" w:type="dxa"/>
            <w:vAlign w:val="center"/>
          </w:tcPr>
          <w:p w14:paraId="256076E2">
            <w:pPr>
              <w:pStyle w:val="14"/>
              <w:spacing w:line="300" w:lineRule="auto"/>
              <w:rPr>
                <w:rFonts w:asciiTheme="majorEastAsia" w:hAnsiTheme="majorEastAsia" w:eastAsiaTheme="majorEastAsia"/>
                <w:sz w:val="22"/>
              </w:rPr>
            </w:pPr>
          </w:p>
        </w:tc>
      </w:tr>
      <w:tr w14:paraId="5F5C00C2">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676" w:hRule="atLeast"/>
          <w:jc w:val="center"/>
        </w:trPr>
        <w:tc>
          <w:tcPr>
            <w:tcW w:w="567" w:type="dxa"/>
            <w:vMerge w:val="continue"/>
            <w:vAlign w:val="center"/>
          </w:tcPr>
          <w:p w14:paraId="0B9F88D1">
            <w:pPr>
              <w:pStyle w:val="14"/>
              <w:jc w:val="center"/>
              <w:rPr>
                <w:rFonts w:cs="Microsoft JhengHei Light" w:asciiTheme="majorEastAsia" w:hAnsiTheme="majorEastAsia" w:eastAsiaTheme="majorEastAsia"/>
                <w:kern w:val="0"/>
                <w:sz w:val="24"/>
                <w:szCs w:val="24"/>
                <w:lang w:val="zh-CN"/>
              </w:rPr>
            </w:pPr>
          </w:p>
        </w:tc>
        <w:tc>
          <w:tcPr>
            <w:tcW w:w="1468" w:type="dxa"/>
            <w:vMerge w:val="restart"/>
            <w:vAlign w:val="center"/>
          </w:tcPr>
          <w:p w14:paraId="5DACF42F">
            <w:pPr>
              <w:pStyle w:val="14"/>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电子送达</w:t>
            </w:r>
          </w:p>
        </w:tc>
        <w:tc>
          <w:tcPr>
            <w:tcW w:w="709" w:type="dxa"/>
            <w:vAlign w:val="center"/>
          </w:tcPr>
          <w:p w14:paraId="658AC27D">
            <w:pPr>
              <w:pStyle w:val="14"/>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w:t>
            </w:r>
          </w:p>
          <w:p w14:paraId="5073BC96">
            <w:pPr>
              <w:pStyle w:val="14"/>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同 意</w:t>
            </w:r>
          </w:p>
        </w:tc>
        <w:tc>
          <w:tcPr>
            <w:tcW w:w="3937" w:type="dxa"/>
            <w:gridSpan w:val="3"/>
            <w:tcBorders>
              <w:right w:val="nil"/>
            </w:tcBorders>
            <w:vAlign w:val="center"/>
          </w:tcPr>
          <w:p w14:paraId="6E4476CA">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Cs w:val="21"/>
              </w:rPr>
              <w:t>*</w:t>
            </w:r>
            <w:r>
              <w:rPr>
                <w:rFonts w:hint="eastAsia" w:asciiTheme="majorEastAsia" w:hAnsiTheme="majorEastAsia" w:eastAsiaTheme="majorEastAsia"/>
                <w:sz w:val="24"/>
                <w:szCs w:val="24"/>
                <w:lang w:eastAsia="zh-CN"/>
              </w:rPr>
              <w:t>人民法院在线服务</w:t>
            </w:r>
            <w:r>
              <w:rPr>
                <w:rFonts w:hint="eastAsia" w:asciiTheme="majorEastAsia" w:hAnsiTheme="majorEastAsia" w:eastAsiaTheme="majorEastAsia"/>
                <w:sz w:val="24"/>
                <w:szCs w:val="24"/>
              </w:rPr>
              <w:t>网账号：</w:t>
            </w: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有</w:t>
            </w:r>
          </w:p>
          <w:p w14:paraId="7937D695">
            <w:pPr>
              <w:pStyle w:val="14"/>
              <w:spacing w:line="240" w:lineRule="auto"/>
              <w:rPr>
                <w:rFonts w:asciiTheme="majorEastAsia" w:hAnsiTheme="majorEastAsia" w:eastAsiaTheme="majorEastAsia"/>
                <w:szCs w:val="21"/>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 xml:space="preserve">电话：              </w:t>
            </w:r>
            <w:r>
              <w:rPr>
                <w:rFonts w:hint="eastAsia" w:asciiTheme="majorEastAsia" w:hAnsiTheme="majorEastAsia" w:eastAsiaTheme="majorEastAsia"/>
                <w:szCs w:val="21"/>
              </w:rPr>
              <w:t>（默认同上）</w:t>
            </w:r>
          </w:p>
          <w:p w14:paraId="73DD41FF">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QQ号：</w:t>
            </w:r>
          </w:p>
          <w:p w14:paraId="4A19385E">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传真：</w:t>
            </w:r>
          </w:p>
        </w:tc>
        <w:tc>
          <w:tcPr>
            <w:tcW w:w="3937" w:type="dxa"/>
            <w:gridSpan w:val="3"/>
            <w:tcBorders>
              <w:top w:val="nil"/>
              <w:left w:val="nil"/>
              <w:bottom w:val="nil"/>
              <w:right w:val="single" w:color="auto" w:sz="4" w:space="0"/>
            </w:tcBorders>
            <w:vAlign w:val="center"/>
          </w:tcPr>
          <w:p w14:paraId="2511D737">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没有</w:t>
            </w:r>
          </w:p>
          <w:p w14:paraId="71C35AD9">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微信：</w:t>
            </w:r>
          </w:p>
          <w:p w14:paraId="71907F5B">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电子邮箱：</w:t>
            </w:r>
          </w:p>
          <w:p w14:paraId="027B5849">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其他 ：</w:t>
            </w:r>
          </w:p>
        </w:tc>
      </w:tr>
      <w:tr w14:paraId="778B9389">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567" w:type="dxa"/>
            <w:vMerge w:val="continue"/>
            <w:vAlign w:val="center"/>
          </w:tcPr>
          <w:p w14:paraId="28485206">
            <w:pPr>
              <w:pStyle w:val="14"/>
              <w:jc w:val="center"/>
              <w:rPr>
                <w:rFonts w:cs="Microsoft JhengHei Light" w:asciiTheme="majorEastAsia" w:hAnsiTheme="majorEastAsia" w:eastAsiaTheme="majorEastAsia"/>
                <w:kern w:val="0"/>
                <w:sz w:val="24"/>
                <w:szCs w:val="24"/>
                <w:lang w:val="zh-CN"/>
              </w:rPr>
            </w:pPr>
          </w:p>
        </w:tc>
        <w:tc>
          <w:tcPr>
            <w:tcW w:w="1468" w:type="dxa"/>
            <w:vMerge w:val="continue"/>
            <w:vAlign w:val="center"/>
          </w:tcPr>
          <w:p w14:paraId="0CCC83AA">
            <w:pPr>
              <w:pStyle w:val="14"/>
              <w:jc w:val="center"/>
              <w:rPr>
                <w:rFonts w:asciiTheme="majorEastAsia" w:hAnsiTheme="majorEastAsia" w:eastAsiaTheme="majorEastAsia"/>
                <w:szCs w:val="21"/>
              </w:rPr>
            </w:pPr>
          </w:p>
        </w:tc>
        <w:tc>
          <w:tcPr>
            <w:tcW w:w="8583" w:type="dxa"/>
            <w:gridSpan w:val="7"/>
            <w:vAlign w:val="center"/>
          </w:tcPr>
          <w:p w14:paraId="5AAB3AA0">
            <w:pPr>
              <w:pStyle w:val="14"/>
              <w:rPr>
                <w:rFonts w:asciiTheme="majorEastAsia" w:hAnsiTheme="majorEastAsia" w:eastAsiaTheme="majorEastAsia"/>
                <w:sz w:val="22"/>
              </w:rPr>
            </w:pPr>
            <w:r>
              <w:rPr>
                <w:rFonts w:hint="eastAsia" w:asciiTheme="majorEastAsia" w:hAnsiTheme="majorEastAsia" w:eastAsiaTheme="majorEastAsia"/>
                <w:b/>
              </w:rPr>
              <w:t>□ 不同意</w:t>
            </w:r>
          </w:p>
        </w:tc>
      </w:tr>
      <w:tr w14:paraId="51B26AD8">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92" w:hRule="atLeast"/>
          <w:jc w:val="center"/>
        </w:trPr>
        <w:tc>
          <w:tcPr>
            <w:tcW w:w="567" w:type="dxa"/>
            <w:vMerge w:val="restart"/>
            <w:textDirection w:val="tbRlV"/>
            <w:vAlign w:val="center"/>
          </w:tcPr>
          <w:p w14:paraId="6BFBA431">
            <w:pPr>
              <w:pStyle w:val="14"/>
              <w:jc w:val="center"/>
              <w:rPr>
                <w:rFonts w:cs="Microsoft JhengHei Light" w:asciiTheme="majorEastAsia" w:hAnsiTheme="majorEastAsia" w:eastAsiaTheme="majorEastAsia"/>
                <w:kern w:val="0"/>
                <w:sz w:val="24"/>
                <w:szCs w:val="24"/>
                <w:lang w:val="zh-CN"/>
              </w:rPr>
            </w:pPr>
            <w:r>
              <w:rPr>
                <w:rFonts w:hint="eastAsia" w:cs="Microsoft JhengHei Light" w:asciiTheme="majorEastAsia" w:hAnsiTheme="majorEastAsia" w:eastAsiaTheme="majorEastAsia"/>
                <w:kern w:val="0"/>
                <w:sz w:val="24"/>
                <w:szCs w:val="24"/>
                <w:lang w:val="zh-CN"/>
              </w:rPr>
              <w:t>委托诉讼代理人</w:t>
            </w:r>
          </w:p>
        </w:tc>
        <w:tc>
          <w:tcPr>
            <w:tcW w:w="1468" w:type="dxa"/>
            <w:vMerge w:val="restart"/>
            <w:vAlign w:val="center"/>
          </w:tcPr>
          <w:p w14:paraId="113A0ED1">
            <w:pPr>
              <w:pStyle w:val="14"/>
              <w:jc w:val="center"/>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姓 名</w:t>
            </w:r>
          </w:p>
        </w:tc>
        <w:tc>
          <w:tcPr>
            <w:tcW w:w="3689" w:type="dxa"/>
            <w:gridSpan w:val="2"/>
            <w:vAlign w:val="center"/>
          </w:tcPr>
          <w:p w14:paraId="5757228C">
            <w:pPr>
              <w:widowControl/>
              <w:adjustRightInd/>
              <w:spacing w:line="240" w:lineRule="auto"/>
              <w:jc w:val="center"/>
              <w:textAlignment w:val="auto"/>
              <w:rPr>
                <w:rFonts w:asciiTheme="majorEastAsia" w:hAnsiTheme="majorEastAsia" w:eastAsiaTheme="majorEastAsia"/>
                <w:sz w:val="21"/>
                <w:szCs w:val="21"/>
              </w:rPr>
            </w:pPr>
          </w:p>
        </w:tc>
        <w:tc>
          <w:tcPr>
            <w:tcW w:w="1931" w:type="dxa"/>
            <w:gridSpan w:val="4"/>
            <w:vMerge w:val="restart"/>
            <w:vAlign w:val="center"/>
          </w:tcPr>
          <w:p w14:paraId="0E3D623A">
            <w:pPr>
              <w:widowControl/>
              <w:adjustRightIn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律师执业证号码</w:t>
            </w:r>
          </w:p>
        </w:tc>
        <w:tc>
          <w:tcPr>
            <w:tcW w:w="2963" w:type="dxa"/>
            <w:vAlign w:val="center"/>
          </w:tcPr>
          <w:p w14:paraId="07FF9437">
            <w:pPr>
              <w:widowControl/>
              <w:adjustRightInd/>
              <w:spacing w:line="240" w:lineRule="auto"/>
              <w:jc w:val="center"/>
              <w:textAlignment w:val="auto"/>
              <w:rPr>
                <w:rFonts w:asciiTheme="majorEastAsia" w:hAnsiTheme="majorEastAsia" w:eastAsiaTheme="majorEastAsia"/>
                <w:sz w:val="20"/>
                <w:szCs w:val="20"/>
              </w:rPr>
            </w:pPr>
          </w:p>
        </w:tc>
      </w:tr>
      <w:tr w14:paraId="184CF02F">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25" w:hRule="atLeast"/>
          <w:jc w:val="center"/>
        </w:trPr>
        <w:tc>
          <w:tcPr>
            <w:tcW w:w="567" w:type="dxa"/>
            <w:vMerge w:val="continue"/>
          </w:tcPr>
          <w:p w14:paraId="2BC40B3E">
            <w:pPr>
              <w:pStyle w:val="14"/>
              <w:jc w:val="center"/>
              <w:rPr>
                <w:rFonts w:asciiTheme="majorEastAsia" w:hAnsiTheme="majorEastAsia" w:eastAsiaTheme="majorEastAsia"/>
                <w:sz w:val="20"/>
                <w:szCs w:val="20"/>
              </w:rPr>
            </w:pPr>
          </w:p>
        </w:tc>
        <w:tc>
          <w:tcPr>
            <w:tcW w:w="1468" w:type="dxa"/>
            <w:vMerge w:val="continue"/>
            <w:vAlign w:val="center"/>
          </w:tcPr>
          <w:p w14:paraId="3EC6925D">
            <w:pPr>
              <w:pStyle w:val="14"/>
              <w:jc w:val="center"/>
              <w:rPr>
                <w:rFonts w:asciiTheme="majorEastAsia" w:hAnsiTheme="majorEastAsia" w:eastAsiaTheme="majorEastAsia"/>
                <w:kern w:val="0"/>
                <w:sz w:val="24"/>
                <w:szCs w:val="24"/>
              </w:rPr>
            </w:pPr>
          </w:p>
        </w:tc>
        <w:tc>
          <w:tcPr>
            <w:tcW w:w="3689" w:type="dxa"/>
            <w:gridSpan w:val="2"/>
            <w:vAlign w:val="center"/>
          </w:tcPr>
          <w:p w14:paraId="2468C9B4">
            <w:pPr>
              <w:widowControl/>
              <w:adjustRightInd/>
              <w:spacing w:line="240" w:lineRule="auto"/>
              <w:jc w:val="center"/>
              <w:textAlignment w:val="auto"/>
              <w:rPr>
                <w:rFonts w:asciiTheme="majorEastAsia" w:hAnsiTheme="majorEastAsia" w:eastAsiaTheme="majorEastAsia"/>
                <w:sz w:val="21"/>
                <w:szCs w:val="21"/>
              </w:rPr>
            </w:pPr>
          </w:p>
        </w:tc>
        <w:tc>
          <w:tcPr>
            <w:tcW w:w="1931" w:type="dxa"/>
            <w:gridSpan w:val="4"/>
            <w:vMerge w:val="continue"/>
            <w:vAlign w:val="center"/>
          </w:tcPr>
          <w:p w14:paraId="7B2BB79D">
            <w:pPr>
              <w:widowControl/>
              <w:adjustRightInd/>
              <w:spacing w:line="240" w:lineRule="auto"/>
              <w:jc w:val="center"/>
              <w:textAlignment w:val="auto"/>
              <w:rPr>
                <w:rFonts w:asciiTheme="majorEastAsia" w:hAnsiTheme="majorEastAsia" w:eastAsiaTheme="majorEastAsia"/>
                <w:sz w:val="21"/>
                <w:szCs w:val="21"/>
              </w:rPr>
            </w:pPr>
          </w:p>
        </w:tc>
        <w:tc>
          <w:tcPr>
            <w:tcW w:w="2963" w:type="dxa"/>
            <w:vAlign w:val="center"/>
          </w:tcPr>
          <w:p w14:paraId="506A817D">
            <w:pPr>
              <w:widowControl/>
              <w:adjustRightInd/>
              <w:spacing w:line="240" w:lineRule="auto"/>
              <w:jc w:val="center"/>
              <w:textAlignment w:val="auto"/>
              <w:rPr>
                <w:rFonts w:asciiTheme="majorEastAsia" w:hAnsiTheme="majorEastAsia" w:eastAsiaTheme="majorEastAsia"/>
                <w:sz w:val="20"/>
                <w:szCs w:val="20"/>
              </w:rPr>
            </w:pPr>
          </w:p>
        </w:tc>
      </w:tr>
      <w:tr w14:paraId="212AAF5E">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55" w:hRule="atLeast"/>
          <w:jc w:val="center"/>
        </w:trPr>
        <w:tc>
          <w:tcPr>
            <w:tcW w:w="567" w:type="dxa"/>
            <w:vMerge w:val="continue"/>
          </w:tcPr>
          <w:p w14:paraId="3F1ACE91">
            <w:pPr>
              <w:pStyle w:val="14"/>
              <w:jc w:val="center"/>
              <w:rPr>
                <w:rFonts w:asciiTheme="majorEastAsia" w:hAnsiTheme="majorEastAsia" w:eastAsiaTheme="majorEastAsia"/>
                <w:sz w:val="18"/>
                <w:szCs w:val="18"/>
              </w:rPr>
            </w:pPr>
          </w:p>
        </w:tc>
        <w:tc>
          <w:tcPr>
            <w:tcW w:w="1468" w:type="dxa"/>
            <w:vAlign w:val="center"/>
          </w:tcPr>
          <w:p w14:paraId="4494F5A4">
            <w:pPr>
              <w:pStyle w:val="14"/>
              <w:jc w:val="center"/>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送达地址</w:t>
            </w:r>
          </w:p>
        </w:tc>
        <w:tc>
          <w:tcPr>
            <w:tcW w:w="3689" w:type="dxa"/>
            <w:gridSpan w:val="2"/>
            <w:vAlign w:val="center"/>
          </w:tcPr>
          <w:p w14:paraId="181AD0C1">
            <w:pPr>
              <w:pStyle w:val="14"/>
              <w:jc w:val="center"/>
              <w:rPr>
                <w:rFonts w:asciiTheme="majorEastAsia" w:hAnsiTheme="majorEastAsia" w:eastAsiaTheme="majorEastAsia"/>
                <w:kern w:val="0"/>
                <w:szCs w:val="21"/>
              </w:rPr>
            </w:pPr>
          </w:p>
        </w:tc>
        <w:tc>
          <w:tcPr>
            <w:tcW w:w="1931" w:type="dxa"/>
            <w:gridSpan w:val="4"/>
            <w:vAlign w:val="center"/>
          </w:tcPr>
          <w:p w14:paraId="60C2F735">
            <w:pPr>
              <w:pStyle w:val="14"/>
              <w:jc w:val="center"/>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联系电话</w:t>
            </w:r>
          </w:p>
        </w:tc>
        <w:tc>
          <w:tcPr>
            <w:tcW w:w="2963" w:type="dxa"/>
            <w:vAlign w:val="center"/>
          </w:tcPr>
          <w:p w14:paraId="33ED1AC5">
            <w:pPr>
              <w:pStyle w:val="14"/>
              <w:jc w:val="center"/>
              <w:rPr>
                <w:rFonts w:asciiTheme="majorEastAsia" w:hAnsiTheme="majorEastAsia" w:eastAsiaTheme="majorEastAsia"/>
                <w:sz w:val="20"/>
                <w:szCs w:val="20"/>
              </w:rPr>
            </w:pPr>
          </w:p>
        </w:tc>
      </w:tr>
      <w:tr w14:paraId="2C59EC91">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749" w:hRule="atLeast"/>
          <w:jc w:val="center"/>
        </w:trPr>
        <w:tc>
          <w:tcPr>
            <w:tcW w:w="567" w:type="dxa"/>
            <w:vMerge w:val="continue"/>
          </w:tcPr>
          <w:p w14:paraId="0CF074D4">
            <w:pPr>
              <w:pStyle w:val="14"/>
              <w:jc w:val="center"/>
              <w:rPr>
                <w:rFonts w:asciiTheme="majorEastAsia" w:hAnsiTheme="majorEastAsia" w:eastAsiaTheme="majorEastAsia"/>
                <w:sz w:val="18"/>
                <w:szCs w:val="18"/>
              </w:rPr>
            </w:pPr>
          </w:p>
        </w:tc>
        <w:tc>
          <w:tcPr>
            <w:tcW w:w="1468" w:type="dxa"/>
            <w:vMerge w:val="restart"/>
            <w:vAlign w:val="center"/>
          </w:tcPr>
          <w:p w14:paraId="057C4852">
            <w:pPr>
              <w:pStyle w:val="14"/>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电子送达</w:t>
            </w:r>
          </w:p>
        </w:tc>
        <w:tc>
          <w:tcPr>
            <w:tcW w:w="709" w:type="dxa"/>
            <w:vAlign w:val="center"/>
          </w:tcPr>
          <w:p w14:paraId="6F02B75F">
            <w:pPr>
              <w:pStyle w:val="14"/>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w:t>
            </w:r>
          </w:p>
          <w:p w14:paraId="4DF2844A">
            <w:pPr>
              <w:pStyle w:val="14"/>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同 意</w:t>
            </w:r>
          </w:p>
        </w:tc>
        <w:tc>
          <w:tcPr>
            <w:tcW w:w="3937" w:type="dxa"/>
            <w:gridSpan w:val="3"/>
            <w:tcBorders>
              <w:right w:val="nil"/>
            </w:tcBorders>
            <w:vAlign w:val="center"/>
          </w:tcPr>
          <w:p w14:paraId="2D330B0E">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Cs w:val="21"/>
              </w:rPr>
              <w:t>*</w:t>
            </w:r>
            <w:r>
              <w:rPr>
                <w:rFonts w:hint="eastAsia" w:asciiTheme="majorEastAsia" w:hAnsiTheme="majorEastAsia" w:eastAsiaTheme="majorEastAsia"/>
                <w:sz w:val="24"/>
                <w:szCs w:val="24"/>
                <w:lang w:eastAsia="zh-CN"/>
              </w:rPr>
              <w:t>人民法院在线服务</w:t>
            </w:r>
            <w:r>
              <w:rPr>
                <w:rFonts w:hint="eastAsia" w:asciiTheme="majorEastAsia" w:hAnsiTheme="majorEastAsia" w:eastAsiaTheme="majorEastAsia"/>
                <w:sz w:val="24"/>
                <w:szCs w:val="24"/>
              </w:rPr>
              <w:t>网账号：</w:t>
            </w: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有</w:t>
            </w:r>
          </w:p>
          <w:p w14:paraId="7E78B337">
            <w:pPr>
              <w:pStyle w:val="14"/>
              <w:spacing w:line="240" w:lineRule="auto"/>
              <w:rPr>
                <w:rFonts w:asciiTheme="majorEastAsia" w:hAnsiTheme="majorEastAsia" w:eastAsiaTheme="majorEastAsia"/>
                <w:szCs w:val="21"/>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 xml:space="preserve">电话：              </w:t>
            </w:r>
            <w:r>
              <w:rPr>
                <w:rFonts w:hint="eastAsia" w:asciiTheme="majorEastAsia" w:hAnsiTheme="majorEastAsia" w:eastAsiaTheme="majorEastAsia"/>
                <w:szCs w:val="21"/>
              </w:rPr>
              <w:t>（默认同上）</w:t>
            </w:r>
          </w:p>
          <w:p w14:paraId="3DDB7EE7">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QQ号：</w:t>
            </w:r>
          </w:p>
          <w:p w14:paraId="47475729">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传真：</w:t>
            </w:r>
          </w:p>
        </w:tc>
        <w:tc>
          <w:tcPr>
            <w:tcW w:w="3937" w:type="dxa"/>
            <w:gridSpan w:val="3"/>
            <w:tcBorders>
              <w:top w:val="nil"/>
              <w:left w:val="nil"/>
              <w:bottom w:val="nil"/>
              <w:right w:val="single" w:color="auto" w:sz="4" w:space="0"/>
            </w:tcBorders>
            <w:vAlign w:val="center"/>
          </w:tcPr>
          <w:p w14:paraId="195B2912">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没有</w:t>
            </w:r>
          </w:p>
          <w:p w14:paraId="4A3A7DFC">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微信：</w:t>
            </w:r>
          </w:p>
          <w:p w14:paraId="4FD40265">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电子邮箱：</w:t>
            </w:r>
          </w:p>
          <w:p w14:paraId="5DF2C985">
            <w:pPr>
              <w:pStyle w:val="14"/>
              <w:spacing w:line="24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w:t>
            </w:r>
            <w:r>
              <w:rPr>
                <w:rFonts w:hint="eastAsia" w:asciiTheme="majorEastAsia" w:hAnsiTheme="majorEastAsia" w:eastAsiaTheme="majorEastAsia"/>
                <w:sz w:val="24"/>
                <w:szCs w:val="24"/>
              </w:rPr>
              <w:t>其他 ：</w:t>
            </w:r>
          </w:p>
        </w:tc>
      </w:tr>
      <w:tr w14:paraId="581C1106">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567" w:type="dxa"/>
            <w:vMerge w:val="continue"/>
          </w:tcPr>
          <w:p w14:paraId="3BDF1F9C">
            <w:pPr>
              <w:pStyle w:val="14"/>
              <w:jc w:val="center"/>
              <w:rPr>
                <w:rFonts w:asciiTheme="majorEastAsia" w:hAnsiTheme="majorEastAsia" w:eastAsiaTheme="majorEastAsia"/>
                <w:sz w:val="20"/>
                <w:szCs w:val="20"/>
              </w:rPr>
            </w:pPr>
          </w:p>
        </w:tc>
        <w:tc>
          <w:tcPr>
            <w:tcW w:w="1468" w:type="dxa"/>
            <w:vMerge w:val="continue"/>
            <w:vAlign w:val="center"/>
          </w:tcPr>
          <w:p w14:paraId="4FE4901A">
            <w:pPr>
              <w:pStyle w:val="14"/>
              <w:jc w:val="center"/>
              <w:rPr>
                <w:rFonts w:asciiTheme="majorEastAsia" w:hAnsiTheme="majorEastAsia" w:eastAsiaTheme="majorEastAsia"/>
                <w:sz w:val="20"/>
                <w:szCs w:val="20"/>
              </w:rPr>
            </w:pPr>
          </w:p>
        </w:tc>
        <w:tc>
          <w:tcPr>
            <w:tcW w:w="8583" w:type="dxa"/>
            <w:gridSpan w:val="7"/>
            <w:vAlign w:val="center"/>
          </w:tcPr>
          <w:p w14:paraId="410A224C">
            <w:pPr>
              <w:pStyle w:val="14"/>
              <w:rPr>
                <w:rFonts w:asciiTheme="majorEastAsia" w:hAnsiTheme="majorEastAsia" w:eastAsiaTheme="majorEastAsia"/>
                <w:sz w:val="20"/>
                <w:szCs w:val="20"/>
                <w:u w:val="single"/>
              </w:rPr>
            </w:pPr>
            <w:r>
              <w:rPr>
                <w:rFonts w:hint="eastAsia" w:asciiTheme="majorEastAsia" w:hAnsiTheme="majorEastAsia" w:eastAsiaTheme="majorEastAsia"/>
                <w:b/>
              </w:rPr>
              <w:t>□ 不同意，</w:t>
            </w:r>
            <w:r>
              <w:rPr>
                <w:rFonts w:hint="eastAsia" w:asciiTheme="majorEastAsia" w:hAnsiTheme="majorEastAsia" w:eastAsiaTheme="majorEastAsia"/>
                <w:b/>
                <w:szCs w:val="21"/>
              </w:rPr>
              <w:t>*</w:t>
            </w:r>
            <w:r>
              <w:rPr>
                <w:rFonts w:hint="eastAsia" w:asciiTheme="majorEastAsia" w:hAnsiTheme="majorEastAsia" w:eastAsiaTheme="majorEastAsia"/>
                <w:b/>
              </w:rPr>
              <w:t>理由：</w:t>
            </w:r>
          </w:p>
        </w:tc>
      </w:tr>
      <w:tr w14:paraId="6FBC9E7D">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27" w:hRule="atLeast"/>
          <w:jc w:val="center"/>
        </w:trPr>
        <w:tc>
          <w:tcPr>
            <w:tcW w:w="2035" w:type="dxa"/>
            <w:gridSpan w:val="2"/>
            <w:vAlign w:val="center"/>
          </w:tcPr>
          <w:p w14:paraId="0E0C8187">
            <w:pPr>
              <w:pStyle w:val="14"/>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当事人/委托诉讼代理人确认</w:t>
            </w:r>
          </w:p>
        </w:tc>
        <w:tc>
          <w:tcPr>
            <w:tcW w:w="8583" w:type="dxa"/>
            <w:gridSpan w:val="7"/>
            <w:vAlign w:val="center"/>
          </w:tcPr>
          <w:p w14:paraId="7077B4E0">
            <w:pPr>
              <w:snapToGrid w:val="0"/>
              <w:spacing w:line="320" w:lineRule="exact"/>
              <w:ind w:right="-52" w:firstLine="422" w:firstLineChars="200"/>
              <w:jc w:val="both"/>
              <w:rPr>
                <w:rFonts w:cs="宋体" w:asciiTheme="majorEastAsia" w:hAnsiTheme="majorEastAsia" w:eastAsiaTheme="majorEastAsia"/>
                <w:b/>
                <w:bCs/>
                <w:sz w:val="21"/>
                <w:szCs w:val="21"/>
              </w:rPr>
            </w:pPr>
            <w:r>
              <w:rPr>
                <w:rFonts w:hint="eastAsia" w:cs="宋体" w:asciiTheme="majorEastAsia" w:hAnsiTheme="majorEastAsia" w:eastAsiaTheme="majorEastAsia"/>
                <w:b/>
                <w:bCs/>
                <w:sz w:val="21"/>
                <w:szCs w:val="21"/>
              </w:rPr>
              <w:t>我已认真阅读了本送达地址确认书的告知事项（包括背面的法律规定）</w:t>
            </w:r>
            <w:r>
              <w:rPr>
                <w:rFonts w:hint="eastAsia" w:asciiTheme="majorEastAsia" w:hAnsiTheme="majorEastAsia" w:eastAsiaTheme="majorEastAsia"/>
                <w:b/>
                <w:sz w:val="21"/>
                <w:szCs w:val="21"/>
              </w:rPr>
              <w:t>，</w:t>
            </w:r>
            <w:r>
              <w:rPr>
                <w:rFonts w:hint="eastAsia" w:cs="宋体" w:asciiTheme="majorEastAsia" w:hAnsiTheme="majorEastAsia" w:eastAsiaTheme="majorEastAsia"/>
                <w:b/>
                <w:bCs/>
                <w:sz w:val="21"/>
                <w:szCs w:val="21"/>
              </w:rPr>
              <w:t>同意以确认的送达方式作为接收诉讼文书送达方式，并保证上述信息是准确、有效的，</w:t>
            </w:r>
            <w:r>
              <w:rPr>
                <w:rFonts w:hint="eastAsia" w:asciiTheme="majorEastAsia" w:hAnsiTheme="majorEastAsia" w:eastAsiaTheme="majorEastAsia"/>
                <w:b/>
                <w:sz w:val="21"/>
                <w:szCs w:val="21"/>
              </w:rPr>
              <w:t>在案件一审、二审、再审（含申诉、申请再审）以及执行期间变更送达地址的，保证及时以书面方式告知法院。</w:t>
            </w:r>
          </w:p>
          <w:p w14:paraId="5F3018A3">
            <w:pPr>
              <w:snapToGrid w:val="0"/>
              <w:spacing w:line="320" w:lineRule="exact"/>
              <w:ind w:right="-52"/>
              <w:jc w:val="both"/>
              <w:rPr>
                <w:rFonts w:asciiTheme="majorEastAsia" w:hAnsiTheme="majorEastAsia" w:eastAsiaTheme="majorEastAsia"/>
                <w:sz w:val="21"/>
                <w:szCs w:val="21"/>
              </w:rPr>
            </w:pPr>
          </w:p>
          <w:p w14:paraId="0A36B281">
            <w:pPr>
              <w:pStyle w:val="14"/>
              <w:rPr>
                <w:rFonts w:asciiTheme="majorEastAsia" w:hAnsiTheme="majorEastAsia" w:eastAsiaTheme="majorEastAsia"/>
                <w:szCs w:val="21"/>
              </w:rPr>
            </w:pPr>
            <w:r>
              <w:rPr>
                <w:rFonts w:hint="eastAsia" w:cs="宋体" w:asciiTheme="majorEastAsia" w:hAnsiTheme="majorEastAsia" w:eastAsiaTheme="majorEastAsia"/>
                <w:bCs/>
                <w:kern w:val="0"/>
                <w:szCs w:val="21"/>
              </w:rPr>
              <w:t xml:space="preserve">当事人（签章）                     </w:t>
            </w:r>
            <w:r>
              <w:rPr>
                <w:rFonts w:hint="eastAsia" w:asciiTheme="majorEastAsia" w:hAnsiTheme="majorEastAsia" w:eastAsiaTheme="majorEastAsia"/>
                <w:szCs w:val="21"/>
              </w:rPr>
              <w:t xml:space="preserve">委托诉讼代理人（签章）：  </w:t>
            </w:r>
          </w:p>
          <w:p w14:paraId="36DF00F0">
            <w:pPr>
              <w:pStyle w:val="14"/>
              <w:rPr>
                <w:rFonts w:asciiTheme="majorEastAsia" w:hAnsiTheme="majorEastAsia" w:eastAsiaTheme="majorEastAsia"/>
                <w:szCs w:val="21"/>
              </w:rPr>
            </w:pPr>
          </w:p>
          <w:p w14:paraId="52623489">
            <w:pPr>
              <w:pStyle w:val="14"/>
              <w:ind w:firstLine="1365" w:firstLineChars="650"/>
              <w:rPr>
                <w:rFonts w:asciiTheme="majorEastAsia" w:hAnsiTheme="majorEastAsia" w:eastAsiaTheme="majorEastAsia"/>
              </w:rPr>
            </w:pPr>
            <w:r>
              <w:rPr>
                <w:rFonts w:hint="eastAsia" w:asciiTheme="majorEastAsia" w:hAnsiTheme="majorEastAsia" w:eastAsiaTheme="majorEastAsia"/>
                <w:szCs w:val="21"/>
              </w:rPr>
              <w:t>年   月   日                                     年   月   日</w:t>
            </w:r>
          </w:p>
        </w:tc>
      </w:tr>
    </w:tbl>
    <w:p w14:paraId="774E2A4F">
      <w:pPr>
        <w:spacing w:line="500" w:lineRule="exact"/>
        <w:rPr>
          <w:rStyle w:val="12"/>
          <w:rFonts w:ascii="黑体" w:hAnsi="黑体" w:eastAsia="黑体"/>
          <w:b/>
          <w:color w:val="000000"/>
          <w:sz w:val="21"/>
          <w:lang w:val="zh-CN"/>
        </w:rPr>
      </w:pPr>
      <w:r>
        <w:rPr>
          <w:rStyle w:val="12"/>
          <w:rFonts w:hint="eastAsia" w:ascii="黑体" w:hAnsi="黑体" w:eastAsia="黑体"/>
          <w:b/>
          <w:color w:val="000000"/>
          <w:sz w:val="21"/>
          <w:lang w:val="zh-CN"/>
        </w:rPr>
        <w:t>备注：带*为必填项，如信息不完整，将不予接收。</w:t>
      </w:r>
    </w:p>
    <w:p w14:paraId="33B1CF2F">
      <w:pPr>
        <w:spacing w:line="460" w:lineRule="exact"/>
        <w:rPr>
          <w:rFonts w:ascii="华文中宋" w:hAnsi="华文中宋" w:eastAsia="华文中宋"/>
          <w:b/>
        </w:rPr>
      </w:pPr>
      <w:r>
        <w:rPr>
          <w:rFonts w:hint="eastAsia" w:ascii="华文中宋" w:hAnsi="华文中宋" w:eastAsia="华文中宋"/>
          <w:b/>
        </w:rPr>
        <w:t>电子送达告知事项</w:t>
      </w:r>
    </w:p>
    <w:p w14:paraId="3474224D">
      <w:pPr>
        <w:pStyle w:val="13"/>
        <w:shd w:val="clear" w:color="auto" w:fill="auto"/>
        <w:tabs>
          <w:tab w:val="left" w:pos="938"/>
        </w:tabs>
        <w:spacing w:after="0" w:line="300" w:lineRule="exact"/>
        <w:ind w:firstLine="422" w:firstLineChars="200"/>
        <w:jc w:val="both"/>
        <w:rPr>
          <w:rFonts w:ascii="仿宋_GB2312" w:eastAsia="仿宋_GB2312"/>
          <w:b/>
          <w:bCs/>
          <w:kern w:val="0"/>
        </w:rPr>
      </w:pPr>
      <w:r>
        <w:rPr>
          <w:rFonts w:hint="eastAsia" w:ascii="仿宋_GB2312" w:eastAsia="仿宋_GB2312"/>
          <w:b/>
          <w:bCs/>
          <w:kern w:val="0"/>
        </w:rPr>
        <w:t>1.适用前提</w:t>
      </w:r>
    </w:p>
    <w:p w14:paraId="7C09BC17">
      <w:pPr>
        <w:pStyle w:val="13"/>
        <w:shd w:val="clear" w:color="auto" w:fill="auto"/>
        <w:spacing w:after="0" w:line="300" w:lineRule="exact"/>
        <w:ind w:firstLine="420" w:firstLineChars="200"/>
        <w:jc w:val="both"/>
        <w:rPr>
          <w:rFonts w:ascii="仿宋_GB2312" w:hAnsi="宋体" w:eastAsia="仿宋_GB2312"/>
          <w:bCs/>
          <w:color w:val="000000"/>
          <w:kern w:val="0"/>
        </w:rPr>
      </w:pPr>
      <w:r>
        <w:rPr>
          <w:rFonts w:hint="eastAsia" w:ascii="仿宋_GB2312" w:hAnsi="宋体" w:eastAsia="仿宋_GB2312"/>
          <w:bCs/>
          <w:color w:val="000000"/>
          <w:kern w:val="0"/>
        </w:rPr>
        <w:t>经受送达人</w:t>
      </w:r>
      <w:r>
        <w:rPr>
          <w:rFonts w:hint="eastAsia" w:ascii="仿宋_GB2312" w:hAnsi="宋体" w:eastAsia="仿宋_GB2312"/>
          <w:b/>
          <w:bCs/>
          <w:color w:val="000000"/>
          <w:kern w:val="0"/>
        </w:rPr>
        <w:t>同意</w:t>
      </w:r>
      <w:r>
        <w:rPr>
          <w:rFonts w:hint="eastAsia" w:ascii="仿宋_GB2312" w:hAnsi="宋体" w:eastAsia="仿宋_GB2312"/>
          <w:bCs/>
          <w:color w:val="000000"/>
          <w:kern w:val="0"/>
        </w:rPr>
        <w:t>，人民法院可以采用电子送达方式送达诉讼文书。</w:t>
      </w:r>
    </w:p>
    <w:p w14:paraId="6B58B417">
      <w:pPr>
        <w:pStyle w:val="13"/>
        <w:shd w:val="clear" w:color="auto" w:fill="auto"/>
        <w:tabs>
          <w:tab w:val="left" w:pos="938"/>
        </w:tabs>
        <w:spacing w:after="0" w:line="300" w:lineRule="exact"/>
        <w:ind w:firstLine="422" w:firstLineChars="200"/>
        <w:jc w:val="both"/>
        <w:rPr>
          <w:rFonts w:ascii="仿宋_GB2312" w:hAnsi="宋体" w:eastAsia="仿宋_GB2312"/>
          <w:b/>
          <w:bCs/>
          <w:kern w:val="0"/>
        </w:rPr>
      </w:pPr>
      <w:r>
        <w:rPr>
          <w:rFonts w:hint="eastAsia" w:ascii="仿宋_GB2312" w:eastAsia="仿宋_GB2312"/>
          <w:b/>
          <w:bCs/>
          <w:kern w:val="0"/>
        </w:rPr>
        <w:t>2.法律效力</w:t>
      </w:r>
    </w:p>
    <w:p w14:paraId="3BA3C516">
      <w:pPr>
        <w:pStyle w:val="13"/>
        <w:shd w:val="clear" w:color="auto" w:fill="auto"/>
        <w:spacing w:after="0" w:line="300" w:lineRule="exact"/>
        <w:ind w:firstLine="420" w:firstLineChars="200"/>
        <w:jc w:val="both"/>
        <w:rPr>
          <w:rFonts w:ascii="仿宋_GB2312" w:hAnsi="宋体" w:eastAsia="仿宋_GB2312"/>
          <w:bCs/>
          <w:color w:val="000000"/>
          <w:kern w:val="0"/>
        </w:rPr>
      </w:pPr>
      <w:r>
        <w:rPr>
          <w:rFonts w:hint="eastAsia" w:ascii="仿宋_GB2312" w:eastAsia="仿宋_GB2312"/>
          <w:bCs/>
          <w:kern w:val="0"/>
        </w:rPr>
        <w:t>以电子送达方式送达诉讼文书的，其送达与人民法院其他方式送达具有</w:t>
      </w:r>
      <w:r>
        <w:rPr>
          <w:rFonts w:hint="eastAsia" w:ascii="仿宋_GB2312" w:eastAsia="仿宋_GB2312"/>
          <w:b/>
          <w:bCs/>
          <w:kern w:val="0"/>
        </w:rPr>
        <w:t>同等</w:t>
      </w:r>
      <w:r>
        <w:rPr>
          <w:rFonts w:hint="eastAsia" w:ascii="仿宋_GB2312" w:eastAsia="仿宋_GB2312"/>
          <w:bCs/>
          <w:kern w:val="0"/>
        </w:rPr>
        <w:t>法律效力。</w:t>
      </w:r>
    </w:p>
    <w:p w14:paraId="14401C2F">
      <w:pPr>
        <w:pStyle w:val="13"/>
        <w:shd w:val="clear" w:color="auto" w:fill="auto"/>
        <w:tabs>
          <w:tab w:val="left" w:pos="938"/>
        </w:tabs>
        <w:spacing w:after="0" w:line="300" w:lineRule="exact"/>
        <w:ind w:firstLine="422" w:firstLineChars="200"/>
        <w:jc w:val="both"/>
        <w:rPr>
          <w:rFonts w:ascii="仿宋_GB2312" w:hAnsi="宋体" w:eastAsia="仿宋_GB2312"/>
          <w:b/>
          <w:bCs/>
          <w:kern w:val="0"/>
        </w:rPr>
      </w:pPr>
      <w:r>
        <w:rPr>
          <w:rFonts w:hint="eastAsia" w:ascii="仿宋_GB2312" w:eastAsia="仿宋_GB2312"/>
          <w:b/>
          <w:bCs/>
          <w:kern w:val="0"/>
        </w:rPr>
        <w:t>3.使用说明</w:t>
      </w:r>
    </w:p>
    <w:p w14:paraId="56E3A8D3">
      <w:pPr>
        <w:pStyle w:val="13"/>
        <w:shd w:val="clear" w:color="auto" w:fill="auto"/>
        <w:spacing w:after="0" w:line="300" w:lineRule="exact"/>
        <w:ind w:firstLine="420" w:firstLineChars="200"/>
        <w:jc w:val="both"/>
        <w:rPr>
          <w:rFonts w:ascii="仿宋_GB2312" w:eastAsia="仿宋_GB2312"/>
          <w:bCs/>
          <w:kern w:val="0"/>
        </w:rPr>
      </w:pPr>
      <w:r>
        <w:rPr>
          <w:rFonts w:hint="eastAsia" w:ascii="仿宋_GB2312" w:eastAsia="仿宋_GB2312"/>
          <w:bCs/>
          <w:kern w:val="0"/>
        </w:rPr>
        <w:t>（1）建议优先通过“</w:t>
      </w:r>
      <w:r>
        <w:rPr>
          <w:rFonts w:hint="eastAsia" w:ascii="仿宋_GB2312" w:eastAsia="仿宋_GB2312"/>
          <w:bCs/>
          <w:kern w:val="0"/>
          <w:lang w:eastAsia="zh-CN"/>
        </w:rPr>
        <w:t>人民法院在线服务</w:t>
      </w:r>
      <w:r>
        <w:rPr>
          <w:rFonts w:hint="eastAsia" w:ascii="仿宋_GB2312" w:eastAsia="仿宋_GB2312"/>
          <w:bCs/>
          <w:kern w:val="0"/>
        </w:rPr>
        <w:t>网”及</w:t>
      </w:r>
      <w:r>
        <w:rPr>
          <w:rFonts w:hint="eastAsia" w:ascii="仿宋_GB2312" w:eastAsia="仿宋_GB2312"/>
          <w:bCs/>
          <w:kern w:val="0"/>
          <w:lang w:eastAsia="zh-CN"/>
        </w:rPr>
        <w:t>“人民法院在线服务全国版”</w:t>
      </w:r>
      <w:r>
        <w:rPr>
          <w:rFonts w:hint="eastAsia" w:ascii="仿宋_GB2312" w:eastAsia="仿宋_GB2312"/>
          <w:bCs/>
          <w:kern w:val="0"/>
        </w:rPr>
        <w:t>小程序接收诉讼文书。</w:t>
      </w:r>
    </w:p>
    <w:p w14:paraId="2E678CE3">
      <w:pPr>
        <w:pStyle w:val="13"/>
        <w:shd w:val="clear" w:color="auto" w:fill="auto"/>
        <w:spacing w:after="0" w:line="300" w:lineRule="exact"/>
        <w:ind w:firstLine="420" w:firstLineChars="200"/>
        <w:jc w:val="both"/>
        <w:rPr>
          <w:rFonts w:ascii="仿宋_GB2312" w:eastAsia="仿宋_GB2312"/>
          <w:bCs/>
          <w:kern w:val="0"/>
        </w:rPr>
      </w:pPr>
      <w:r>
        <w:rPr>
          <w:rFonts w:hint="eastAsia" w:ascii="仿宋_GB2312" w:eastAsia="仿宋_GB2312"/>
          <w:bCs/>
          <w:kern w:val="0"/>
        </w:rPr>
        <w:t>（2）同意电子送达的，向本院提供或确认的手机号码将同时用于接收法院以电话或短信形式发送的诉讼文书。</w:t>
      </w:r>
    </w:p>
    <w:p w14:paraId="73872CF4">
      <w:pPr>
        <w:pStyle w:val="13"/>
        <w:shd w:val="clear" w:color="auto" w:fill="auto"/>
        <w:spacing w:after="0" w:line="300" w:lineRule="exact"/>
        <w:ind w:firstLine="420" w:firstLineChars="200"/>
        <w:jc w:val="both"/>
        <w:rPr>
          <w:rFonts w:ascii="仿宋_GB2312" w:eastAsia="仿宋_GB2312"/>
          <w:bCs/>
          <w:kern w:val="0"/>
        </w:rPr>
      </w:pPr>
      <w:r>
        <w:rPr>
          <w:rFonts w:hint="eastAsia" w:ascii="仿宋_GB2312" w:eastAsia="仿宋_GB2312"/>
          <w:bCs/>
          <w:kern w:val="0"/>
        </w:rPr>
        <w:t>（3）提供微信号、QQ号、电子邮件、传真及其他电子联系方式的，</w:t>
      </w:r>
      <w:r>
        <w:rPr>
          <w:rFonts w:hint="eastAsia" w:eastAsia="仿宋_GB2312" w:cs="仿宋_GB2312"/>
          <w:bCs/>
        </w:rPr>
        <w:t>一经发送成功，诉讼文书即视为送达。</w:t>
      </w:r>
      <w:r>
        <w:rPr>
          <w:rFonts w:hint="eastAsia" w:eastAsia="仿宋_GB2312" w:cs="仿宋_GB2312"/>
        </w:rPr>
        <w:t>请及时查阅诉讼文书。</w:t>
      </w:r>
    </w:p>
    <w:p w14:paraId="0BD28BD4">
      <w:pPr>
        <w:pStyle w:val="13"/>
        <w:shd w:val="clear" w:color="auto" w:fill="auto"/>
        <w:spacing w:after="0" w:line="300" w:lineRule="exact"/>
        <w:ind w:firstLine="420" w:firstLineChars="200"/>
        <w:jc w:val="both"/>
        <w:rPr>
          <w:rFonts w:ascii="仿宋_GB2312" w:eastAsia="仿宋_GB2312"/>
          <w:bCs/>
          <w:kern w:val="0"/>
        </w:rPr>
      </w:pPr>
      <w:r>
        <w:rPr>
          <w:rFonts w:hint="eastAsia" w:ascii="仿宋_GB2312" w:eastAsia="仿宋_GB2312"/>
          <w:bCs/>
          <w:kern w:val="0"/>
        </w:rPr>
        <w:t>（4）提供多个电子送达地址的，本院将按照</w:t>
      </w:r>
      <w:r>
        <w:rPr>
          <w:rFonts w:hint="eastAsia" w:ascii="仿宋_GB2312" w:eastAsia="仿宋_GB2312"/>
          <w:bCs/>
          <w:kern w:val="0"/>
          <w:lang w:eastAsia="zh-CN"/>
        </w:rPr>
        <w:t>人民法院在线服务网</w:t>
      </w:r>
      <w:r>
        <w:rPr>
          <w:rFonts w:hint="eastAsia" w:ascii="仿宋_GB2312" w:eastAsia="仿宋_GB2312"/>
          <w:bCs/>
          <w:kern w:val="0"/>
        </w:rPr>
        <w:t>账号——手机号码——微信、QQ、电子邮箱——传真（其他）的顺序进行送达。前一电子送达地址送达成功的，将不再对地址确认书确定的其他电子地址进行送达。</w:t>
      </w:r>
    </w:p>
    <w:p w14:paraId="5116DB36">
      <w:pPr>
        <w:pStyle w:val="13"/>
        <w:shd w:val="clear" w:color="auto" w:fill="auto"/>
        <w:spacing w:after="0" w:line="300" w:lineRule="exact"/>
        <w:ind w:firstLine="420" w:firstLineChars="200"/>
        <w:jc w:val="both"/>
        <w:rPr>
          <w:rFonts w:ascii="仿宋_GB2312" w:eastAsia="仿宋_GB2312"/>
          <w:bCs/>
          <w:kern w:val="0"/>
        </w:rPr>
      </w:pPr>
      <w:r>
        <w:rPr>
          <w:rFonts w:hint="eastAsia" w:eastAsia="仿宋_GB2312" w:cs="仿宋_GB2312"/>
          <w:bCs/>
        </w:rPr>
        <w:t>（5）</w:t>
      </w:r>
      <w:r>
        <w:rPr>
          <w:rFonts w:hint="eastAsia" w:eastAsia="仿宋_GB2312" w:cs="仿宋_GB2312"/>
          <w:b/>
          <w:bCs/>
        </w:rPr>
        <w:t>电子送达地址一经确认为诉讼文书送达地址，即</w:t>
      </w:r>
      <w:r>
        <w:rPr>
          <w:rFonts w:hint="eastAsia" w:eastAsia="仿宋_GB2312" w:cs="仿宋_GB2312"/>
          <w:b/>
          <w:bCs/>
          <w:kern w:val="0"/>
        </w:rPr>
        <w:t>可用于案件一审、二审、再审（含申诉、申请再审）以及执行程序送达诉讼文书，无须当事人及其诉讼代理人再次确认。</w:t>
      </w:r>
    </w:p>
    <w:p w14:paraId="289108B3">
      <w:pPr>
        <w:spacing w:line="460" w:lineRule="exact"/>
        <w:rPr>
          <w:rFonts w:ascii="华文中宋" w:hAnsi="华文中宋" w:eastAsia="华文中宋"/>
          <w:b/>
        </w:rPr>
      </w:pPr>
    </w:p>
    <w:p w14:paraId="1CBA12C3">
      <w:pPr>
        <w:spacing w:line="460" w:lineRule="exact"/>
        <w:rPr>
          <w:rFonts w:ascii="华文中宋" w:hAnsi="华文中宋" w:eastAsia="华文中宋"/>
          <w:b/>
        </w:rPr>
      </w:pPr>
      <w:r>
        <w:rPr>
          <w:rFonts w:hint="eastAsia" w:ascii="华文中宋" w:hAnsi="华文中宋" w:eastAsia="华文中宋"/>
          <w:b/>
        </w:rPr>
        <w:t>相关法律规定（摘录）</w:t>
      </w:r>
    </w:p>
    <w:p w14:paraId="2EC7D5BB">
      <w:pPr>
        <w:widowControl/>
        <w:spacing w:line="300" w:lineRule="exact"/>
        <w:ind w:firstLine="422" w:firstLineChars="200"/>
        <w:rPr>
          <w:rFonts w:ascii="仿宋_GB2312" w:hAnsi="华文中宋" w:eastAsia="仿宋_GB2312" w:cs="宋体"/>
          <w:b/>
          <w:color w:val="000000"/>
          <w:sz w:val="21"/>
          <w:szCs w:val="21"/>
        </w:rPr>
      </w:pPr>
      <w:r>
        <w:rPr>
          <w:rFonts w:hint="eastAsia" w:ascii="仿宋_GB2312" w:hAnsi="华文中宋" w:eastAsia="仿宋_GB2312" w:cs="宋体"/>
          <w:b/>
          <w:color w:val="000000"/>
          <w:sz w:val="21"/>
          <w:szCs w:val="21"/>
        </w:rPr>
        <w:t>《中华人民共和国民事诉讼法》</w:t>
      </w:r>
    </w:p>
    <w:p w14:paraId="7D91C837">
      <w:pPr>
        <w:widowControl/>
        <w:spacing w:line="300" w:lineRule="exact"/>
        <w:ind w:right="-234" w:rightChars="-73" w:firstLine="420" w:firstLineChars="200"/>
        <w:rPr>
          <w:rFonts w:ascii="仿宋_GB2312" w:hAnsi="宋体" w:eastAsia="仿宋_GB2312" w:cs="宋体"/>
          <w:bCs/>
          <w:color w:val="000000"/>
          <w:sz w:val="21"/>
          <w:szCs w:val="21"/>
        </w:rPr>
      </w:pPr>
      <w:r>
        <w:rPr>
          <w:rFonts w:hint="eastAsia" w:ascii="仿宋_GB2312" w:hAnsi="宋体" w:eastAsia="仿宋_GB2312" w:cs="宋体"/>
          <w:bCs/>
          <w:color w:val="000000"/>
          <w:sz w:val="21"/>
          <w:szCs w:val="21"/>
        </w:rPr>
        <w:t>第九十条　经受送达人同意，人民法院可以采用能够确认其收悉的电子方式送达诉讼文书。通过电子方式送达的判决书、裁定书、调解书，受送达人提出需要纸质文书的，人民法院应当提供。</w:t>
      </w:r>
    </w:p>
    <w:p w14:paraId="27D10903">
      <w:pPr>
        <w:widowControl/>
        <w:spacing w:line="300" w:lineRule="exact"/>
        <w:ind w:right="-234" w:rightChars="-73" w:firstLine="420" w:firstLineChars="200"/>
        <w:rPr>
          <w:rFonts w:ascii="仿宋_GB2312" w:hAnsi="宋体" w:eastAsia="仿宋_GB2312" w:cs="宋体"/>
          <w:bCs/>
          <w:color w:val="000000"/>
          <w:sz w:val="21"/>
          <w:szCs w:val="21"/>
        </w:rPr>
      </w:pPr>
      <w:r>
        <w:rPr>
          <w:rFonts w:hint="eastAsia" w:ascii="仿宋_GB2312" w:hAnsi="宋体" w:eastAsia="仿宋_GB2312" w:cs="宋体"/>
          <w:bCs/>
          <w:color w:val="000000"/>
          <w:sz w:val="21"/>
          <w:szCs w:val="21"/>
        </w:rPr>
        <w:t>采用前款方式送达的，以送达信息到达受送达人特定系统的日期为送达日期。</w:t>
      </w:r>
    </w:p>
    <w:p w14:paraId="71CADBE6">
      <w:pPr>
        <w:widowControl/>
        <w:spacing w:line="300" w:lineRule="exact"/>
        <w:ind w:right="-234" w:rightChars="-73" w:firstLine="413" w:firstLineChars="196"/>
        <w:rPr>
          <w:rFonts w:ascii="仿宋_GB2312" w:hAnsi="华文中宋" w:eastAsia="仿宋_GB2312" w:cs="宋体"/>
          <w:b/>
          <w:bCs/>
          <w:color w:val="000000"/>
          <w:sz w:val="21"/>
          <w:szCs w:val="21"/>
        </w:rPr>
      </w:pPr>
      <w:r>
        <w:rPr>
          <w:rFonts w:hint="eastAsia" w:ascii="仿宋_GB2312" w:hAnsi="华文中宋" w:eastAsia="仿宋_GB2312" w:cs="宋体"/>
          <w:b/>
          <w:bCs/>
          <w:color w:val="000000"/>
          <w:sz w:val="21"/>
          <w:szCs w:val="21"/>
        </w:rPr>
        <w:t>最高人民法院《关于以法院专递方式邮寄送达民事诉讼文书的若干规定》</w:t>
      </w:r>
    </w:p>
    <w:p w14:paraId="0DD68C50">
      <w:pPr>
        <w:widowControl/>
        <w:spacing w:line="300" w:lineRule="exact"/>
        <w:ind w:right="-234" w:rightChars="-73" w:firstLine="420" w:firstLineChars="200"/>
        <w:rPr>
          <w:rFonts w:ascii="仿宋_GB2312" w:hAnsi="宋体" w:eastAsia="仿宋_GB2312" w:cs="宋体"/>
          <w:bCs/>
          <w:color w:val="000000"/>
          <w:sz w:val="21"/>
          <w:szCs w:val="21"/>
        </w:rPr>
      </w:pPr>
      <w:r>
        <w:rPr>
          <w:rFonts w:hint="eastAsia" w:ascii="仿宋_GB2312" w:hAnsi="宋体" w:eastAsia="仿宋_GB2312" w:cs="宋体"/>
          <w:bCs/>
          <w:color w:val="000000"/>
          <w:sz w:val="21"/>
          <w:szCs w:val="21"/>
        </w:rPr>
        <w:t xml:space="preserve">第二条  以法院专递方式邮寄送达民事诉讼文书的，其送达与人民法院送达具有同等法律效力。 </w:t>
      </w:r>
    </w:p>
    <w:p w14:paraId="33F07C01">
      <w:pPr>
        <w:widowControl/>
        <w:spacing w:line="300" w:lineRule="exact"/>
        <w:ind w:right="-234" w:rightChars="-73" w:firstLine="420" w:firstLineChars="200"/>
        <w:rPr>
          <w:rFonts w:ascii="仿宋_GB2312" w:hAnsi="宋体" w:eastAsia="仿宋_GB2312" w:cs="宋体"/>
          <w:bCs/>
          <w:color w:val="000000"/>
          <w:sz w:val="21"/>
          <w:szCs w:val="21"/>
        </w:rPr>
      </w:pPr>
      <w:r>
        <w:rPr>
          <w:rFonts w:hint="eastAsia" w:ascii="仿宋_GB2312" w:hAnsi="宋体" w:eastAsia="仿宋_GB2312" w:cs="宋体"/>
          <w:bCs/>
          <w:color w:val="000000"/>
          <w:sz w:val="21"/>
          <w:szCs w:val="21"/>
        </w:rPr>
        <w:t>第三条  当事人起诉或者答辩时应当向人民法院提供或者确认自己准确的送达地址，并填写送达地址确认书。当事人拒绝提供的，人民法院应当告知其拒不提供送达地址的不利后果，并记入笔录。</w:t>
      </w:r>
    </w:p>
    <w:p w14:paraId="316F0888">
      <w:pPr>
        <w:widowControl/>
        <w:spacing w:line="300" w:lineRule="exact"/>
        <w:ind w:right="-234" w:rightChars="-73" w:firstLine="420" w:firstLineChars="200"/>
        <w:rPr>
          <w:rFonts w:ascii="仿宋_GB2312" w:hAnsi="宋体" w:eastAsia="仿宋_GB2312" w:cs="宋体"/>
          <w:color w:val="000000"/>
          <w:sz w:val="21"/>
          <w:szCs w:val="21"/>
        </w:rPr>
      </w:pPr>
      <w:r>
        <w:rPr>
          <w:rFonts w:hint="eastAsia" w:ascii="仿宋_GB2312" w:hAnsi="宋体" w:eastAsia="仿宋_GB2312" w:cs="宋体"/>
          <w:bCs/>
          <w:color w:val="000000"/>
          <w:sz w:val="21"/>
          <w:szCs w:val="21"/>
        </w:rPr>
        <w:t>第十一条</w:t>
      </w:r>
      <w:r>
        <w:rPr>
          <w:rFonts w:hint="eastAsia" w:ascii="仿宋_GB2312" w:hAnsi="宋体" w:eastAsia="仿宋_GB2312" w:cs="宋体"/>
          <w:color w:val="000000"/>
          <w:sz w:val="21"/>
          <w:szCs w:val="21"/>
        </w:rPr>
        <w:t xml:space="preserve">  因受送达人自己提供或者确认的送达地址不准确、拒不提供送达地址、送达地址变更未及时告知人民法院、受送达人本人或者受送达人指定的代收人拒绝签收，导致诉讼文书未能被受送达人实际接收的，文书退回之日视为送达之日。</w:t>
      </w:r>
    </w:p>
    <w:p w14:paraId="734E467D">
      <w:pPr>
        <w:spacing w:line="300" w:lineRule="exact"/>
        <w:ind w:firstLine="388" w:firstLineChars="200"/>
        <w:rPr>
          <w:rFonts w:ascii="仿宋_GB2312" w:hAnsi="宋体" w:eastAsia="仿宋_GB2312" w:cs="宋体"/>
          <w:color w:val="000000"/>
          <w:spacing w:val="-8"/>
          <w:sz w:val="21"/>
          <w:szCs w:val="21"/>
        </w:rPr>
      </w:pPr>
      <w:r>
        <w:rPr>
          <w:rFonts w:hint="eastAsia" w:ascii="仿宋_GB2312" w:hAnsi="宋体" w:eastAsia="仿宋_GB2312" w:cs="宋体"/>
          <w:color w:val="000000"/>
          <w:spacing w:val="-8"/>
          <w:sz w:val="21"/>
          <w:szCs w:val="21"/>
        </w:rPr>
        <w:t>受送达人能够证明自己在诉讼文书送达的过程中没有过错的，不适用前款规定。</w:t>
      </w:r>
    </w:p>
    <w:p w14:paraId="17AD3DB7">
      <w:pPr>
        <w:spacing w:line="300" w:lineRule="exact"/>
        <w:ind w:firstLine="390" w:firstLineChars="200"/>
        <w:rPr>
          <w:rFonts w:ascii="仿宋_GB2312" w:hAnsi="华文中宋" w:eastAsia="仿宋_GB2312" w:cs="宋体"/>
          <w:b/>
          <w:color w:val="000000"/>
          <w:spacing w:val="-8"/>
          <w:sz w:val="21"/>
          <w:szCs w:val="21"/>
        </w:rPr>
      </w:pPr>
      <w:r>
        <w:rPr>
          <w:rFonts w:hint="eastAsia" w:ascii="仿宋_GB2312" w:hAnsi="华文中宋" w:eastAsia="仿宋_GB2312" w:cs="宋体"/>
          <w:b/>
          <w:color w:val="000000"/>
          <w:spacing w:val="-8"/>
          <w:sz w:val="21"/>
          <w:szCs w:val="21"/>
        </w:rPr>
        <w:t>最高人民法院《关于进一步加强民事送达工作的若干意见》</w:t>
      </w:r>
    </w:p>
    <w:p w14:paraId="1D23F7E9">
      <w:pPr>
        <w:spacing w:line="300" w:lineRule="exact"/>
        <w:ind w:firstLine="388" w:firstLineChars="200"/>
        <w:rPr>
          <w:rFonts w:ascii="仿宋_GB2312" w:hAnsi="宋体" w:eastAsia="仿宋_GB2312" w:cs="宋体"/>
          <w:color w:val="000000"/>
          <w:spacing w:val="-8"/>
          <w:sz w:val="21"/>
          <w:szCs w:val="21"/>
        </w:rPr>
      </w:pPr>
      <w:r>
        <w:rPr>
          <w:rFonts w:hint="eastAsia" w:ascii="仿宋_GB2312" w:hAnsi="宋体" w:eastAsia="仿宋_GB2312" w:cs="宋体"/>
          <w:color w:val="000000"/>
          <w:spacing w:val="-8"/>
          <w:sz w:val="21"/>
          <w:szCs w:val="21"/>
        </w:rPr>
        <w:t>八、当事人拒绝确认送达地址或以拒绝应诉、拒接电话、避而不见送达人员、搬离原住所等躲避、规避送达，人民法院不能或无法要求其确认送达地址的，可以分别以下列情形处理：</w:t>
      </w:r>
    </w:p>
    <w:p w14:paraId="751C2A1B">
      <w:pPr>
        <w:spacing w:line="300" w:lineRule="exact"/>
        <w:ind w:firstLine="388" w:firstLineChars="200"/>
        <w:rPr>
          <w:rFonts w:ascii="仿宋_GB2312" w:hAnsi="宋体" w:eastAsia="仿宋_GB2312" w:cs="宋体"/>
          <w:color w:val="000000"/>
          <w:spacing w:val="-8"/>
          <w:sz w:val="21"/>
          <w:szCs w:val="21"/>
        </w:rPr>
      </w:pPr>
      <w:r>
        <w:rPr>
          <w:rFonts w:hint="eastAsia" w:ascii="仿宋_GB2312" w:hAnsi="宋体" w:eastAsia="仿宋_GB2312" w:cs="宋体"/>
          <w:color w:val="000000"/>
          <w:spacing w:val="-8"/>
          <w:sz w:val="21"/>
          <w:szCs w:val="21"/>
        </w:rPr>
        <w:t>（一）当事人在诉讼所涉及的合同、往来函件中对送达地址有明确约定的，以约定的地址为送达地址；</w:t>
      </w:r>
    </w:p>
    <w:p w14:paraId="49DDC148">
      <w:pPr>
        <w:spacing w:line="300" w:lineRule="exact"/>
        <w:ind w:firstLine="388" w:firstLineChars="200"/>
        <w:rPr>
          <w:rFonts w:ascii="仿宋_GB2312" w:hAnsi="宋体" w:eastAsia="仿宋_GB2312" w:cs="宋体"/>
          <w:color w:val="000000"/>
          <w:spacing w:val="-8"/>
          <w:sz w:val="21"/>
          <w:szCs w:val="21"/>
        </w:rPr>
      </w:pPr>
      <w:r>
        <w:rPr>
          <w:rFonts w:hint="eastAsia" w:ascii="仿宋_GB2312" w:hAnsi="宋体" w:eastAsia="仿宋_GB2312" w:cs="宋体"/>
          <w:color w:val="000000"/>
          <w:spacing w:val="-8"/>
          <w:sz w:val="21"/>
          <w:szCs w:val="21"/>
        </w:rPr>
        <w:t>（二）没有约定的，以当事人在诉讼中提交的书面材料中载明的自己的地址为送达地址；</w:t>
      </w:r>
    </w:p>
    <w:p w14:paraId="364B4EC3">
      <w:pPr>
        <w:spacing w:line="300" w:lineRule="exact"/>
        <w:ind w:firstLine="388" w:firstLineChars="200"/>
        <w:rPr>
          <w:rFonts w:ascii="仿宋_GB2312" w:hAnsi="宋体" w:eastAsia="仿宋_GB2312" w:cs="宋体"/>
          <w:color w:val="000000"/>
          <w:spacing w:val="-8"/>
          <w:sz w:val="21"/>
          <w:szCs w:val="21"/>
        </w:rPr>
      </w:pPr>
      <w:r>
        <w:rPr>
          <w:rFonts w:hint="eastAsia" w:ascii="仿宋_GB2312" w:hAnsi="宋体" w:eastAsia="仿宋_GB2312" w:cs="宋体"/>
          <w:color w:val="000000"/>
          <w:spacing w:val="-8"/>
          <w:sz w:val="21"/>
          <w:szCs w:val="21"/>
        </w:rPr>
        <w:t>（三）没有约定、当事人也未提交书面材料或者书面材料中未载明地址的，以一年内进行其他诉讼、仲裁案件中提供的地址为送达地址；</w:t>
      </w:r>
    </w:p>
    <w:p w14:paraId="3579EFC1">
      <w:pPr>
        <w:spacing w:line="300" w:lineRule="exact"/>
        <w:ind w:firstLine="388" w:firstLineChars="200"/>
        <w:rPr>
          <w:rFonts w:ascii="仿宋_GB2312" w:hAnsi="宋体" w:eastAsia="仿宋_GB2312" w:cs="宋体"/>
          <w:color w:val="000000"/>
          <w:spacing w:val="-8"/>
          <w:sz w:val="21"/>
          <w:szCs w:val="21"/>
        </w:rPr>
      </w:pPr>
      <w:r>
        <w:rPr>
          <w:rFonts w:hint="eastAsia" w:ascii="仿宋_GB2312" w:hAnsi="宋体" w:eastAsia="仿宋_GB2312" w:cs="宋体"/>
          <w:color w:val="000000"/>
          <w:spacing w:val="-8"/>
          <w:sz w:val="21"/>
          <w:szCs w:val="21"/>
        </w:rPr>
        <w:t>（四）无以上情形的，以当事人一年内进行民事活动时经常使用的地址为送达地址。</w:t>
      </w:r>
    </w:p>
    <w:p w14:paraId="10F17E25">
      <w:pPr>
        <w:spacing w:line="300" w:lineRule="exact"/>
        <w:ind w:firstLine="388" w:firstLineChars="200"/>
        <w:rPr>
          <w:rFonts w:ascii="仿宋_GB2312" w:hAnsi="宋体" w:eastAsia="仿宋_GB2312" w:cs="宋体"/>
          <w:color w:val="000000"/>
          <w:spacing w:val="-8"/>
          <w:sz w:val="21"/>
          <w:szCs w:val="21"/>
        </w:rPr>
      </w:pPr>
      <w:r>
        <w:rPr>
          <w:rFonts w:hint="eastAsia" w:ascii="仿宋_GB2312" w:hAnsi="宋体" w:eastAsia="仿宋_GB2312" w:cs="宋体"/>
          <w:color w:val="000000"/>
          <w:spacing w:val="-8"/>
          <w:sz w:val="21"/>
          <w:szCs w:val="21"/>
        </w:rPr>
        <w:t>人民法院按照上述地址进行送达的，可以同时以电话、微信等方式通知受送达人。</w:t>
      </w:r>
    </w:p>
    <w:p w14:paraId="5897EB3A">
      <w:pPr>
        <w:spacing w:line="300" w:lineRule="exact"/>
        <w:ind w:firstLine="388" w:firstLineChars="200"/>
        <w:rPr>
          <w:rFonts w:ascii="仿宋_GB2312" w:hAnsi="宋体" w:eastAsia="仿宋_GB2312" w:cs="宋体"/>
          <w:color w:val="000000"/>
          <w:spacing w:val="-8"/>
          <w:sz w:val="21"/>
          <w:szCs w:val="21"/>
        </w:rPr>
      </w:pPr>
      <w:r>
        <w:rPr>
          <w:rFonts w:hint="eastAsia" w:ascii="仿宋_GB2312" w:hAnsi="宋体" w:eastAsia="仿宋_GB2312" w:cs="宋体"/>
          <w:color w:val="000000"/>
          <w:spacing w:val="-8"/>
          <w:sz w:val="21"/>
          <w:szCs w:val="21"/>
        </w:rPr>
        <w:t>九、依第八条规定仍不能确认送达地址的，自然人以其户籍登记的住所或者在经常居住地登记的住址为送达地址，法人或者其他组织以其工商登记或其他依法登记、备案的住所地为送达地址。</w:t>
      </w:r>
    </w:p>
    <w:p w14:paraId="630008FA">
      <w:pPr>
        <w:spacing w:line="300" w:lineRule="exact"/>
        <w:ind w:firstLine="388" w:firstLineChars="200"/>
        <w:rPr>
          <w:rFonts w:ascii="仿宋_GB2312" w:hAnsi="宋体" w:eastAsia="仿宋_GB2312" w:cs="宋体"/>
          <w:color w:val="000000"/>
          <w:spacing w:val="-8"/>
          <w:sz w:val="21"/>
          <w:szCs w:val="21"/>
        </w:rPr>
      </w:pPr>
    </w:p>
    <w:p w14:paraId="7AF712F1">
      <w:bookmarkStart w:id="0" w:name="_GoBack"/>
      <w:bookmarkEnd w:id="0"/>
    </w:p>
    <w:sectPr>
      <w:pgSz w:w="11906" w:h="16838"/>
      <w:pgMar w:top="567" w:right="720" w:bottom="567" w:left="720" w:header="567" w:footer="56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Microsoft JhengHei Light">
    <w:altName w:val="方正书宋_GBK"/>
    <w:panose1 w:val="00000000000000000000"/>
    <w:charset w:val="88"/>
    <w:family w:val="swiss"/>
    <w:pitch w:val="default"/>
    <w:sig w:usb0="00000000" w:usb1="00000000" w:usb2="00000016" w:usb3="00000000" w:csb0="00100009"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5E"/>
    <w:rsid w:val="00003285"/>
    <w:rsid w:val="000272D1"/>
    <w:rsid w:val="0004560E"/>
    <w:rsid w:val="000B5443"/>
    <w:rsid w:val="000B661E"/>
    <w:rsid w:val="00104FA3"/>
    <w:rsid w:val="00117C9F"/>
    <w:rsid w:val="00124144"/>
    <w:rsid w:val="0015134F"/>
    <w:rsid w:val="001550FB"/>
    <w:rsid w:val="00185785"/>
    <w:rsid w:val="001B475E"/>
    <w:rsid w:val="001D19BC"/>
    <w:rsid w:val="001D7F6D"/>
    <w:rsid w:val="001E10CE"/>
    <w:rsid w:val="001E386F"/>
    <w:rsid w:val="001E7953"/>
    <w:rsid w:val="002517DB"/>
    <w:rsid w:val="002670DE"/>
    <w:rsid w:val="002A1644"/>
    <w:rsid w:val="002A200E"/>
    <w:rsid w:val="002C7C26"/>
    <w:rsid w:val="002D2853"/>
    <w:rsid w:val="002D5636"/>
    <w:rsid w:val="002F460C"/>
    <w:rsid w:val="00314D0B"/>
    <w:rsid w:val="00320044"/>
    <w:rsid w:val="003303C0"/>
    <w:rsid w:val="00331299"/>
    <w:rsid w:val="003328D4"/>
    <w:rsid w:val="003865A9"/>
    <w:rsid w:val="003E66A6"/>
    <w:rsid w:val="003E7277"/>
    <w:rsid w:val="003F6626"/>
    <w:rsid w:val="00404059"/>
    <w:rsid w:val="0043210A"/>
    <w:rsid w:val="004B2FE5"/>
    <w:rsid w:val="004D3907"/>
    <w:rsid w:val="00555D8E"/>
    <w:rsid w:val="005652B3"/>
    <w:rsid w:val="005A7E0C"/>
    <w:rsid w:val="005B06F2"/>
    <w:rsid w:val="005D1708"/>
    <w:rsid w:val="006312FC"/>
    <w:rsid w:val="00633858"/>
    <w:rsid w:val="00633D22"/>
    <w:rsid w:val="00640E64"/>
    <w:rsid w:val="00644FB1"/>
    <w:rsid w:val="00671506"/>
    <w:rsid w:val="006A4FC9"/>
    <w:rsid w:val="006E659C"/>
    <w:rsid w:val="006F1BBB"/>
    <w:rsid w:val="00707B97"/>
    <w:rsid w:val="00742F83"/>
    <w:rsid w:val="00771D99"/>
    <w:rsid w:val="00772D99"/>
    <w:rsid w:val="007A299D"/>
    <w:rsid w:val="007B4B53"/>
    <w:rsid w:val="007E4B32"/>
    <w:rsid w:val="007F7266"/>
    <w:rsid w:val="00803ACE"/>
    <w:rsid w:val="008307B3"/>
    <w:rsid w:val="008429CB"/>
    <w:rsid w:val="008566BF"/>
    <w:rsid w:val="00880A2F"/>
    <w:rsid w:val="0088322B"/>
    <w:rsid w:val="008B14D9"/>
    <w:rsid w:val="008B6A07"/>
    <w:rsid w:val="008B7A8D"/>
    <w:rsid w:val="008F753D"/>
    <w:rsid w:val="008F769E"/>
    <w:rsid w:val="00910D5D"/>
    <w:rsid w:val="00954284"/>
    <w:rsid w:val="009923EB"/>
    <w:rsid w:val="00997A12"/>
    <w:rsid w:val="009A7BED"/>
    <w:rsid w:val="009B2816"/>
    <w:rsid w:val="009C605E"/>
    <w:rsid w:val="009D6D14"/>
    <w:rsid w:val="009F3ABC"/>
    <w:rsid w:val="00A208FF"/>
    <w:rsid w:val="00A535BE"/>
    <w:rsid w:val="00A64A7C"/>
    <w:rsid w:val="00A8470C"/>
    <w:rsid w:val="00AB4CDC"/>
    <w:rsid w:val="00AC2797"/>
    <w:rsid w:val="00B1140C"/>
    <w:rsid w:val="00B473B1"/>
    <w:rsid w:val="00B52B80"/>
    <w:rsid w:val="00B937AE"/>
    <w:rsid w:val="00BE741C"/>
    <w:rsid w:val="00C054C0"/>
    <w:rsid w:val="00C7221E"/>
    <w:rsid w:val="00C81187"/>
    <w:rsid w:val="00CD078A"/>
    <w:rsid w:val="00D168DC"/>
    <w:rsid w:val="00D33295"/>
    <w:rsid w:val="00D3351E"/>
    <w:rsid w:val="00D405DA"/>
    <w:rsid w:val="00D6608D"/>
    <w:rsid w:val="00D74F1E"/>
    <w:rsid w:val="00D9748A"/>
    <w:rsid w:val="00DA303E"/>
    <w:rsid w:val="00DC141C"/>
    <w:rsid w:val="00DC1F1E"/>
    <w:rsid w:val="00DD53B7"/>
    <w:rsid w:val="00DD64DF"/>
    <w:rsid w:val="00DE2E91"/>
    <w:rsid w:val="00DF1470"/>
    <w:rsid w:val="00E0694A"/>
    <w:rsid w:val="00E1515D"/>
    <w:rsid w:val="00E55C92"/>
    <w:rsid w:val="00E62CEC"/>
    <w:rsid w:val="00E95D4A"/>
    <w:rsid w:val="00EF15C4"/>
    <w:rsid w:val="00F13F4B"/>
    <w:rsid w:val="00F22BEF"/>
    <w:rsid w:val="00F43C65"/>
    <w:rsid w:val="00F60222"/>
    <w:rsid w:val="00F7179A"/>
    <w:rsid w:val="00F76589"/>
    <w:rsid w:val="00F87A94"/>
    <w:rsid w:val="00FB32B7"/>
    <w:rsid w:val="00FE1114"/>
    <w:rsid w:val="066C3E8F"/>
    <w:rsid w:val="7779E4BD"/>
    <w:rsid w:val="798D3336"/>
    <w:rsid w:val="7F778804"/>
    <w:rsid w:val="7FDE9D0A"/>
    <w:rsid w:val="D77F50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方正仿宋简体" w:cs="Times New Roman"/>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adjustRightInd/>
      <w:snapToGrid w:val="0"/>
      <w:spacing w:line="240" w:lineRule="auto"/>
      <w:textAlignment w:val="auto"/>
    </w:pPr>
    <w:rPr>
      <w:rFonts w:asciiTheme="minorHAnsi" w:hAnsiTheme="minorHAnsi" w:eastAsiaTheme="minorEastAsia" w:cstheme="minorBidi"/>
      <w:kern w:val="2"/>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5">
    <w:name w:val="footnote text"/>
    <w:basedOn w:val="1"/>
    <w:link w:val="16"/>
    <w:semiHidden/>
    <w:unhideWhenUsed/>
    <w:qFormat/>
    <w:uiPriority w:val="99"/>
    <w:pPr>
      <w:snapToGrid w:val="0"/>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footnote reference"/>
    <w:basedOn w:val="8"/>
    <w:semiHidden/>
    <w:unhideWhenUsed/>
    <w:qFormat/>
    <w:uiPriority w:val="99"/>
    <w:rPr>
      <w:vertAlign w:val="superscript"/>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正文文本 (2)_"/>
    <w:basedOn w:val="8"/>
    <w:link w:val="13"/>
    <w:qFormat/>
    <w:uiPriority w:val="99"/>
    <w:rPr>
      <w:rFonts w:ascii="宋体" w:cs="宋体"/>
      <w:szCs w:val="21"/>
      <w:shd w:val="clear" w:color="auto" w:fill="FFFFFF"/>
    </w:rPr>
  </w:style>
  <w:style w:type="paragraph" w:customStyle="1" w:styleId="13">
    <w:name w:val="正文文本 (2)1"/>
    <w:basedOn w:val="1"/>
    <w:link w:val="12"/>
    <w:qFormat/>
    <w:uiPriority w:val="99"/>
    <w:pPr>
      <w:shd w:val="clear" w:color="auto" w:fill="FFFFFF"/>
      <w:adjustRightInd/>
      <w:spacing w:after="180" w:line="240" w:lineRule="atLeast"/>
      <w:textAlignment w:val="auto"/>
    </w:pPr>
    <w:rPr>
      <w:rFonts w:ascii="宋体" w:cs="宋体" w:hAnsiTheme="minorHAnsi" w:eastAsiaTheme="minorEastAsia"/>
      <w:kern w:val="2"/>
      <w:sz w:val="21"/>
      <w:szCs w:val="21"/>
    </w:rPr>
  </w:style>
  <w:style w:type="paragraph" w:styleId="14">
    <w:name w:val="No Spacing"/>
    <w:qFormat/>
    <w:uiPriority w:val="1"/>
    <w:pPr>
      <w:widowControl w:val="0"/>
      <w:spacing w:line="0" w:lineRule="atLeast"/>
      <w:jc w:val="both"/>
    </w:pPr>
    <w:rPr>
      <w:rFonts w:ascii="Calibri" w:hAnsi="Calibri" w:eastAsia="宋体" w:cs="Times New Roman"/>
      <w:kern w:val="2"/>
      <w:sz w:val="21"/>
      <w:szCs w:val="22"/>
      <w:lang w:val="en-US" w:eastAsia="zh-CN" w:bidi="ar-SA"/>
    </w:rPr>
  </w:style>
  <w:style w:type="character" w:customStyle="1" w:styleId="15">
    <w:name w:val="批注框文本 Char"/>
    <w:basedOn w:val="8"/>
    <w:link w:val="2"/>
    <w:semiHidden/>
    <w:qFormat/>
    <w:uiPriority w:val="99"/>
    <w:rPr>
      <w:rFonts w:ascii="Times New Roman" w:hAnsi="Times New Roman" w:eastAsia="方正仿宋简体" w:cs="Times New Roman"/>
      <w:kern w:val="0"/>
      <w:sz w:val="18"/>
      <w:szCs w:val="18"/>
    </w:rPr>
  </w:style>
  <w:style w:type="character" w:customStyle="1" w:styleId="16">
    <w:name w:val="脚注文本 Char"/>
    <w:basedOn w:val="8"/>
    <w:link w:val="5"/>
    <w:semiHidden/>
    <w:qFormat/>
    <w:uiPriority w:val="99"/>
    <w:rPr>
      <w:rFonts w:ascii="Times New Roman" w:hAnsi="Times New Roman" w:eastAsia="方正仿宋简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356</Words>
  <Characters>2034</Characters>
  <Lines>16</Lines>
  <Paragraphs>4</Paragraphs>
  <TotalTime>13</TotalTime>
  <ScaleCrop>false</ScaleCrop>
  <LinksUpToDate>false</LinksUpToDate>
  <CharactersWithSpaces>2386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2025-02-24T19:22:00Z</dcterms:created>
  <dc:creator>赵洁仪</dc:creator>
  <cp:lastModifiedBy>inspur</cp:lastModifiedBy>
  <cp:lastPrinted>2025-11-28T18:43:00Z</cp:lastPrinted>
  <dcterms:modified xsi:type="dcterms:W3CDTF">2025-11-28T16:00:11Z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DB46ACC82BA13EB08988B56790E32663</vt:lpwstr>
  </property>
</Properties>
</file>